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firstLine="640" w:firstLineChars="200"/>
        <w:jc w:val="center"/>
        <w:rPr>
          <w:rFonts w:ascii="黑体" w:hAnsi="黑体" w:cs="黑体"/>
          <w:b w:val="0"/>
          <w:bCs/>
        </w:rPr>
      </w:pPr>
      <w:bookmarkStart w:id="0" w:name="_GoBack"/>
      <w:bookmarkEnd w:id="0"/>
      <w:r>
        <w:rPr>
          <w:rFonts w:hint="eastAsia" w:ascii="黑体" w:hAnsi="黑体" w:cs="黑体"/>
          <w:b w:val="0"/>
          <w:bCs/>
        </w:rPr>
        <w:t>附件1：专利预审服务分类号拟调整表</w:t>
      </w:r>
    </w:p>
    <w:tbl>
      <w:tblPr>
        <w:tblStyle w:val="4"/>
        <w:tblW w:w="8252" w:type="dxa"/>
        <w:jc w:val="center"/>
        <w:tblLayout w:type="fixed"/>
        <w:tblCellMar>
          <w:top w:w="0" w:type="dxa"/>
          <w:left w:w="28" w:type="dxa"/>
          <w:bottom w:w="0" w:type="dxa"/>
          <w:right w:w="28" w:type="dxa"/>
        </w:tblCellMar>
      </w:tblPr>
      <w:tblGrid>
        <w:gridCol w:w="692"/>
        <w:gridCol w:w="1178"/>
        <w:gridCol w:w="5591"/>
        <w:gridCol w:w="791"/>
      </w:tblGrid>
      <w:tr>
        <w:tblPrEx>
          <w:tblCellMar>
            <w:top w:w="0" w:type="dxa"/>
            <w:left w:w="28" w:type="dxa"/>
            <w:bottom w:w="0" w:type="dxa"/>
            <w:right w:w="28" w:type="dxa"/>
          </w:tblCellMar>
        </w:tblPrEx>
        <w:trPr>
          <w:cantSplit/>
          <w:trHeight w:val="652" w:hRule="atLeast"/>
          <w:tblHeader/>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b/>
                <w:bCs/>
                <w:color w:val="000000"/>
                <w:kern w:val="0"/>
                <w:sz w:val="22"/>
                <w:szCs w:val="22"/>
                <w:lang w:bidi="ar"/>
              </w:rPr>
            </w:pPr>
            <w:r>
              <w:rPr>
                <w:rFonts w:hint="eastAsia" w:ascii="仿宋" w:hAnsi="仿宋" w:eastAsia="仿宋" w:cs="仿宋"/>
                <w:b/>
                <w:bCs/>
                <w:color w:val="000000"/>
                <w:kern w:val="0"/>
                <w:sz w:val="22"/>
                <w:szCs w:val="22"/>
                <w:lang w:bidi="ar"/>
              </w:rPr>
              <w:t>序号</w:t>
            </w:r>
          </w:p>
        </w:tc>
        <w:tc>
          <w:tcPr>
            <w:tcW w:w="1178" w:type="dxa"/>
            <w:tcBorders>
              <w:top w:val="single" w:color="000000" w:sz="4" w:space="0"/>
              <w:left w:val="single" w:color="000000" w:sz="4" w:space="0"/>
              <w:bottom w:val="nil"/>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b/>
                <w:bCs/>
                <w:color w:val="000000"/>
                <w:kern w:val="0"/>
                <w:sz w:val="22"/>
                <w:szCs w:val="22"/>
                <w:lang w:bidi="ar"/>
              </w:rPr>
            </w:pPr>
            <w:r>
              <w:rPr>
                <w:rFonts w:hint="eastAsia" w:ascii="仿宋" w:hAnsi="仿宋" w:eastAsia="仿宋" w:cs="仿宋"/>
                <w:b/>
                <w:bCs/>
                <w:color w:val="000000"/>
                <w:kern w:val="0"/>
                <w:sz w:val="22"/>
                <w:szCs w:val="22"/>
                <w:lang w:bidi="ar"/>
              </w:rPr>
              <w:t>IPC分类号（小类）</w:t>
            </w:r>
          </w:p>
        </w:tc>
        <w:tc>
          <w:tcPr>
            <w:tcW w:w="5591" w:type="dxa"/>
            <w:tcBorders>
              <w:top w:val="single" w:color="000000" w:sz="4" w:space="0"/>
              <w:left w:val="single" w:color="000000" w:sz="4" w:space="0"/>
              <w:bottom w:val="nil"/>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b/>
                <w:bCs/>
                <w:color w:val="000000"/>
                <w:kern w:val="0"/>
                <w:sz w:val="22"/>
                <w:szCs w:val="22"/>
                <w:lang w:bidi="ar"/>
              </w:rPr>
            </w:pPr>
            <w:r>
              <w:rPr>
                <w:rFonts w:hint="eastAsia" w:ascii="仿宋" w:hAnsi="仿宋" w:eastAsia="仿宋" w:cs="仿宋"/>
                <w:b/>
                <w:bCs/>
                <w:color w:val="000000"/>
                <w:kern w:val="0"/>
                <w:sz w:val="22"/>
                <w:szCs w:val="22"/>
                <w:lang w:bidi="ar"/>
              </w:rPr>
              <w:t>分类号释义</w:t>
            </w:r>
          </w:p>
        </w:tc>
        <w:tc>
          <w:tcPr>
            <w:tcW w:w="791" w:type="dxa"/>
            <w:tcBorders>
              <w:top w:val="single" w:color="000000" w:sz="4" w:space="0"/>
              <w:left w:val="single" w:color="000000" w:sz="4" w:space="0"/>
              <w:bottom w:val="nil"/>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b/>
                <w:bCs/>
                <w:color w:val="000000"/>
                <w:kern w:val="0"/>
                <w:sz w:val="22"/>
                <w:szCs w:val="22"/>
                <w:lang w:bidi="ar"/>
              </w:rPr>
            </w:pPr>
            <w:r>
              <w:rPr>
                <w:rFonts w:hint="eastAsia" w:ascii="仿宋" w:hAnsi="仿宋" w:eastAsia="仿宋" w:cs="仿宋"/>
                <w:b/>
                <w:bCs/>
                <w:color w:val="000000"/>
                <w:kern w:val="0"/>
                <w:sz w:val="22"/>
                <w:szCs w:val="22"/>
                <w:lang w:bidi="ar"/>
              </w:rPr>
              <w:t>备注</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A61N</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电疗；磁疗；放射疗；超声波疗（生物电流的测定入A61B)(将非机械能转入或转出人体的外科器械、装置或方法入A61B18/00)(一般麻醉用器械入A61M)(白炽灯入H01K)(红外加热辐照器入H05B）</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958"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B03C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从固体物料或流体中分离固体物料的磁或静电分离；高压电场分离（分离同位素入B01D59/00）（磁或静电分离法与其他固体分离装置的结合入B03B,B07B）[2006.01]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B05C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一般对表面涂布流体的装置（喷射装置、雾化装置、喷嘴入B05B；把液体或其他流体涂布于物体上的静电喷射装置入B05B5/08）</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64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B05D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对表面涂布流体的一般工艺（输送通过液浴的节或工件入B65G，如B65G49/02）</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5</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B22C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铸造造型（成型耐火材料一般入B28B）</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6</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B22D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金属铸造；用相同工艺或设备的其他物质的铸造（塑料或塑性状态物质的成型入B29C；冶金工艺，添加到金属中物质的选择入C21，C22）</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04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7</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B23D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刨削；插削；剪切；拉削；锯；锉削；刮削；其他类目不包括的用切除材料方式对金属加工的类似操作（齿轮或类似物的入B23F；用局部加热方式切割金属入B23K；用于仿形或控制装置入B23Q）</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8</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B24C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磨料或微粒材料的喷射</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04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9</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B26D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切割；用于打孔、冲孔、切割、冲裁或切断的机器的通用零件（用刀或其他切割或扯裂机件来把物料分裂成碎片入B02C18/00；用磨料流体喷射切割入B24C5/02；手持切割工具入B26B）</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10</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B33Y</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增材制造，即三维〔3D〕物品制造，通过增材沉积，增材凝聚或增材分层，如3D打印，立体照片或选择性激光烧结[2015.01]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04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11</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B41M</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印刷、复制、标记或拷贝工艺；彩色印刷（排印上的错误校正入B41J；提供转印图片或类似的方法入B44C1/16；通过涂敷来校正印刷错误的液体介质入C09D10/00；印刷纺织品入D06P）[2006.01]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12</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B60C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车用轮胎；轮胎充气；轮胎的更换；一般充气弹性体与气门的连接；与轮胎有关的装置或布置</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13</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B64B</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轻于空气的飞行器（一般飞机用的地面设备入B64F）[2006.01]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958"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14</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B65D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用于物件或物料贮存或运输的容器，如袋、桶、瓶子、箱盒、罐头、纸板箱、板条箱、圆桶、罐、槽、料仓、运输容器；所用的附件、封口或配件；包装元件；包装件</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59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15</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C02F</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水、废水、污水或污泥的处理（通过在物质中产生化学变化使有害的化学物质无害或降低危害的方法入A62D3/00；分离、沉淀箱或过滤设备入B01D；有关处理水、废水或污水生产装置的水运容器的特殊设备，例如用于制备淡水入B63J；为防止水的腐蚀用的添加物质入C23F；放射性废液的处理入21F9/04）</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222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16</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C30B</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单晶生长(用超高压的，例如用于金刚石形成的入B01J3/06）；共晶材料的定向凝固或共析材料的定向分层；材料的区熔精炼（金属或合金的区熔精炼入C22B）；具有一定结构的均匀多晶材料的制备（金属铸造，按同样工艺或装置的其他物质铸造入B22D；塑料的加工入B29；改变金属或合金的物理结构入C21D、C22F）；单晶或具有一定结构的均匀多晶材料；单晶或具有一定结构的均匀多晶材料之后处理（用于半导体器件或元件生产的入H01L）；其所用的装置</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17</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E01D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桥梁（在航站楼和飞机之间架设的供乘客上下飞机用的桥入B64F1/305）</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18</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E04F</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建筑物的装修工程，例如，楼梯，楼面(窗、门入E06B)</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19</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E04H</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专门用途的建筑物或类似的构筑物；游泳或喷水浴槽或池；桅杆；围栏；一般帐篷或天篷(基础入E02D)</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64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20</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E05F</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使翼扇移到开启或关闭位置的器件；翼扇调节；其他类目未包括而与翼扇功能有关的零件</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04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21</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F01P</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一般机器或发动机的冷却；内燃机的冷却（在车辆中与推进装置的冷却相关的装置入B60K11/00；热传</w:t>
            </w:r>
            <w:r>
              <w:rPr>
                <w:rFonts w:hint="eastAsia" w:ascii="仿宋" w:hAnsi="仿宋" w:eastAsia="仿宋"/>
                <w:color w:val="000000"/>
                <w:sz w:val="22"/>
                <w:szCs w:val="22"/>
              </w:rPr>
              <w:br w:type="textWrapping"/>
            </w:r>
            <w:r>
              <w:rPr>
                <w:rFonts w:hint="eastAsia" w:ascii="仿宋" w:hAnsi="仿宋" w:eastAsia="仿宋"/>
                <w:color w:val="000000"/>
                <w:sz w:val="22"/>
                <w:szCs w:val="22"/>
              </w:rPr>
              <w:t>递、热交换或储热材料入C09K5/00；一般的热交换、散热器入F28）</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22</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F03D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风力发动机</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958"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23</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F16C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轴；软轴；在挠性护套中传递运动的机械装置；曲轴机构的元件；枢轴；枢轴连接；除传动装置、联轴器、离合器或制动器元件以外的转动工程元件；轴承</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24</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F16K</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阀；龙头；旋塞；致动浮子；通风或充气装置</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274"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25</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F17D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管道系统；管路（配水入E03B；泵或压缩机入F04；流体动力学入F15D；阀或类似件入F16K；管子、铺设管子、支撑、连接、支管、管路维修、管路上的工作、附件入F16L；凝汽阀或类似件入F16T；液体压力电缆入H01B9/06）</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26</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F21S</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非便携式照明装置或其系统；专门适用于车辆外部的车辆照明设备</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27</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F21Y</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涉及到光源的构成或类型或者所发射的光的颜色与小类F21K，F21L，F21S和F21V相结合的引得分类表</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274"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28</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F22B</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蒸汽的发生方法；蒸汽锅炉（以原动机为主的蒸汽机装置入F01K；燃烧生成物或剩渣的清除，例如锅炉管燃烧沾污表面的清洗入F23J3/00；家用蒸汽的集中供热系统入F24D；一般热交换或热传递入F28；核反应堆堆心中蒸气的发生入G21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04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29</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F23C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使用流体燃料或悬浮于空气中的固体燃料的燃烧方法或设备（燃烧器入F23D；不包含在其他类目中的燃烧室结构零部件入F23M；产生高压或高速燃烧生成物的燃烧室入F23R）</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30</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F23K</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燃烧设备的燃料供应（专门适用于流化床燃烧设备的燃料供应入F23C10/22）供燃烧设备用的块状或粉末燃料的制备[2006.01]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274"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31</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F23L</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一般燃烧设备空气或不可燃液体或气体的输送（带有输送空气或蒸汽装置的火桥入F23M3/04；带有送风通道的挡板或防护屏入F23M9/04）；燃烧设备中控制送风或引风的阀门或风门；燃烧设备的引风；烟囱或通风竖井顶部；烟道的末端</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04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32</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F23M</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专门适用于燃烧室的外罩，衬层，壁或门，例如火桥；燃烧室内使空气、火焰或燃烧生成物转向的装置；专门适用于燃烧设备的安全装置；不包含在其他类目中的燃烧室零部件[2006.01]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33</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F27D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一种以上的炉通用的炉、窑、烘烤炉或蒸馏炉的零部件或附件（燃烧设备入F23；电加热入H05B）</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274"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34</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F28D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其他小类中不包括的热交换设备，其中热交换介质不直接接触的（传热、热交换或储热材料入C09K5/00；有热量产生装置的和传热装置的流体加热器入F24H；炉入F27；一般用途的热交换设备的零部件入F28F）；一般贮热装置或设备</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35</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G01F</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容积、流量、质量流量或液位的测量；按容积进行测量</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36</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G01H</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机械振动或超声波、声波或次声波的测量</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37</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G01J</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红外光、可见光、紫外光的强度、速度、光谱成分，偏振、相位或脉冲特性的测量；比色法；辐射高温测定法</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38</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G01L</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测量力、应力、转矩、功、机械功率、机械效率或流体压力（称量入G01G）</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39</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G01V</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地球物理；重力测量；物质或物体的探测；示踪物（用于指示因事故被掩埋的人的位置，例如，被雪掩埋的人的位置的装置入A63B29/02）</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958"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40</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G03F</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图纹面的照相制版工艺，例如，印刷工艺、半导体器件的加工工艺；其所用材料；其所用原版；其所用专用设备（照相排版装置入B41B；为摄影用的感光材料或处理入G03C；电记录、感光层或处理入G03G）</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488"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41</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G05F</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调节电变量或磁变量的系统（调节雷达或无线电导航系统中脉冲计时或脉冲重复频率的入G01S；专用于电子计时器中电流或电压的调节入G04G19/02；用电装置调节非电变量的闭环系统入G05D；数字计算机的调节电源入G06F1/26；用于得到有衔铁时的所需电磁铁工作特性入H01F7/18；调节电功率的配电网络入H02J；调节电池充电的入H02J7/00；静态变换器输出的调节，例如开关式调节器入H02M；电发生器输出的调节入H02N，H02P9/00；变压器、电抗器、或扼流圈的控制入H02P13/00；调节放大器的频率响应、增益、最大输出、振幅或带宽的入H03G；调节谐振电路调谐的入H03J；控制电子振荡器或脉冲发生器的入H03L；调节传输线路特性的入H04B；控制电光源的入H05B39/04，H05B41/36，H05B45/10，H05B45/20，H05B47/10；X射线设备的电气控制入H05G1/30）</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385"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42</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G05G</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只按机械特征区分的控制装置或系统（“Bowden”或类似的机构入F16C1/10；不专用于本类的传动</w:t>
            </w:r>
            <w:r>
              <w:rPr>
                <w:rFonts w:hint="eastAsia" w:ascii="仿宋" w:hAnsi="仿宋" w:eastAsia="仿宋"/>
                <w:color w:val="000000"/>
                <w:sz w:val="22"/>
                <w:szCs w:val="22"/>
              </w:rPr>
              <w:br w:type="textWrapping"/>
            </w:r>
            <w:r>
              <w:rPr>
                <w:rFonts w:hint="eastAsia" w:ascii="仿宋" w:hAnsi="仿宋" w:eastAsia="仿宋"/>
                <w:color w:val="000000"/>
                <w:sz w:val="22"/>
                <w:szCs w:val="22"/>
              </w:rPr>
              <w:t>装置或机构入F16H；传送旋转运动的齿轮装置的变速或反向机构入F16H59/00至F16H63/00）</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43</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G06K</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图形数据读取（图像或视频识别或理解入G06V）；数据表达；记录载体；处理记录载体</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44</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G06N</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基于特定计算模型的计算机系统[2006.01]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958"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45</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G06Q</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专门适用于行政、商业、金融、管理或监督目的的信息和通信技术[ICT]；其他类目不包含的专门适用于行政、商业、金融、管理或监督目的的系统或方法</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46</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G06T</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一般的图像数据处理或产生</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47</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G06V</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图像或视频识别或理解</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48</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G07C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时间登记器或出勤登记器；登记或指示机器的运行；产生随机数；投票或彩票设备；未列入其他类目的核算装置、系统或设备</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49</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G16Y</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专门用于物联网的信息和通信技术[IoT]</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64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50</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H01J</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放电管或放电灯（火花隙入H01T；带消耗电极的弧光灯入H05B；粒子加速器入H05H）</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70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51</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H01S</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利用辐射[激光]的受激发射使用光放大过程来放大或产生光的器件；利用除光之外的波范围内的电磁辐射的受激发射器件[2019.01]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90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52</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H03D</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由一个载频到另一载频对调制进行解调或变换（微波激射器、激光器入H01S；调制器和解调器都可应用的电路入H03C，例如平衡调制器H03C1/54；调制器和变频器都可应用的零部件入H03C；脉冲解调入H03K9/00；经连续变量信号调制的脉冲调制形式的变换入H03K11/00；中继系统，例如中继站入H04B7/14；用于数字调制载波系统的解调器入H04L27/00；用于彩色电视的同步解调器入H04N9/66）</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59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53</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H03K</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脉冲技术（脉冲特性测量入G01R；用脉冲调制正弦波振荡的入H03C；数字信息的传输入H04L；利用对振荡周期进行计数或积分来检定两个信号相位差的鉴别器电路入H03D3/04；与发生器类型无关的或者并非特指的电子发生器或脉冲发声器的自动控制、起振、同步或稳定入H03L；编码、一般译码或代码转换入H03M）[19850101]</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6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54</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H05B</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电热；其他类目不包含的电照明光源；一般的用于电照明光源的电路</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190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55</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H05H</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等离子体技术（离子束管入H01J27/00；磁流体发电机入H02K44/08；涉及生成等离子体的产生X射线的入H05G2/00）；加速的带电粒子或中子的产生（从放射源获取中子的入G21，例如：G21B，G21C，G21G）；中性分子或原子射束的产生或加速（原子钟入G04F5/14；受激发射器件入H01S；通过与由分子、原子或亚原子粒子的能级所确定的基准频率相比较而进行频率调整的入H03L7/26）</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s="仿宋"/>
                <w:color w:val="000000"/>
                <w:kern w:val="0"/>
                <w:sz w:val="22"/>
                <w:szCs w:val="22"/>
                <w:lang w:bidi="ar"/>
              </w:rPr>
              <w:t>56</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sz w:val="22"/>
                <w:szCs w:val="22"/>
              </w:rPr>
            </w:pPr>
            <w:r>
              <w:rPr>
                <w:rFonts w:hint="eastAsia" w:ascii="仿宋" w:hAnsi="仿宋" w:eastAsia="仿宋"/>
                <w:color w:val="000000"/>
                <w:sz w:val="22"/>
                <w:szCs w:val="22"/>
              </w:rPr>
              <w:t>H10N</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s="仿宋"/>
                <w:color w:val="000000"/>
                <w:sz w:val="22"/>
                <w:szCs w:val="22"/>
              </w:rPr>
            </w:pPr>
            <w:r>
              <w:rPr>
                <w:rFonts w:hint="eastAsia" w:ascii="仿宋" w:hAnsi="仿宋" w:eastAsia="仿宋"/>
                <w:color w:val="000000"/>
                <w:sz w:val="22"/>
                <w:szCs w:val="22"/>
              </w:rPr>
              <w:t>其它不包括的电固态器件</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拟增</w:t>
            </w:r>
          </w:p>
        </w:tc>
      </w:tr>
      <w:tr>
        <w:tblPrEx>
          <w:tblCellMar>
            <w:top w:w="0" w:type="dxa"/>
            <w:left w:w="28" w:type="dxa"/>
            <w:bottom w:w="0" w:type="dxa"/>
            <w:right w:w="28" w:type="dxa"/>
          </w:tblCellMar>
        </w:tblPrEx>
        <w:trPr>
          <w:cantSplit/>
          <w:trHeight w:val="3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1</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E01B</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olor w:val="000000"/>
                <w:sz w:val="22"/>
                <w:szCs w:val="22"/>
              </w:rPr>
            </w:pPr>
            <w:r>
              <w:rPr>
                <w:rFonts w:hint="eastAsia" w:ascii="仿宋" w:hAnsi="仿宋" w:eastAsia="仿宋"/>
                <w:color w:val="000000"/>
                <w:sz w:val="22"/>
                <w:szCs w:val="22"/>
              </w:rPr>
              <w:t>铁路轨道；铁路轨道附件；铺设各种铁路的机器（脱轨或复轨器，轨道制动器或减速器入B61K；从轨道上排除异物、控制植物生长、铺洒液体入 E01H）</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拟删</w:t>
            </w:r>
          </w:p>
        </w:tc>
      </w:tr>
      <w:tr>
        <w:tblPrEx>
          <w:tblCellMar>
            <w:top w:w="0" w:type="dxa"/>
            <w:left w:w="28" w:type="dxa"/>
            <w:bottom w:w="0" w:type="dxa"/>
            <w:right w:w="28" w:type="dxa"/>
          </w:tblCellMar>
        </w:tblPrEx>
        <w:trPr>
          <w:cantSplit/>
          <w:trHeight w:val="3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s="仿宋"/>
                <w:color w:val="000000"/>
                <w:kern w:val="0"/>
                <w:sz w:val="22"/>
                <w:szCs w:val="22"/>
                <w:lang w:bidi="ar"/>
              </w:rPr>
            </w:pPr>
            <w:r>
              <w:rPr>
                <w:rFonts w:hint="eastAsia" w:ascii="仿宋" w:hAnsi="仿宋" w:eastAsia="仿宋" w:cs="仿宋"/>
                <w:color w:val="000000"/>
                <w:kern w:val="0"/>
                <w:sz w:val="22"/>
                <w:szCs w:val="22"/>
                <w:lang w:bidi="ar"/>
              </w:rPr>
              <w:t>2</w:t>
            </w:r>
          </w:p>
        </w:tc>
        <w:tc>
          <w:tcPr>
            <w:tcW w:w="117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F17C</w:t>
            </w:r>
          </w:p>
        </w:tc>
        <w:tc>
          <w:tcPr>
            <w:tcW w:w="55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left"/>
              <w:textAlignment w:val="center"/>
              <w:rPr>
                <w:rFonts w:ascii="仿宋" w:hAnsi="仿宋" w:eastAsia="仿宋"/>
                <w:color w:val="000000"/>
                <w:sz w:val="22"/>
                <w:szCs w:val="22"/>
              </w:rPr>
            </w:pPr>
            <w:r>
              <w:rPr>
                <w:rFonts w:hint="eastAsia" w:ascii="仿宋" w:hAnsi="仿宋" w:eastAsia="仿宋"/>
                <w:color w:val="000000"/>
                <w:sz w:val="22"/>
                <w:szCs w:val="22"/>
              </w:rPr>
              <w:t>盛装或贮存压缩的、液化的或固化的气体容器；固定容量的贮气罐；将压缩的、液化的或固化的气体灌入容器内，或从容器内排出（在地下用天然或人工的穴或室贮存流体入 B65G5/00；使用土木工程技术建造或安装大容量容器入 E04H7/00；可调容量的贮气罐入 F17B；液化或制冷机械、设备或系统入 F25）</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widowControl/>
              <w:jc w:val="center"/>
              <w:textAlignment w:val="center"/>
              <w:rPr>
                <w:rFonts w:ascii="仿宋" w:hAnsi="仿宋" w:eastAsia="仿宋"/>
                <w:color w:val="000000"/>
                <w:sz w:val="22"/>
                <w:szCs w:val="22"/>
              </w:rPr>
            </w:pPr>
            <w:r>
              <w:rPr>
                <w:rFonts w:hint="eastAsia" w:ascii="仿宋" w:hAnsi="仿宋" w:eastAsia="仿宋"/>
                <w:color w:val="000000"/>
                <w:sz w:val="22"/>
                <w:szCs w:val="22"/>
              </w:rPr>
              <w:t>拟删</w:t>
            </w:r>
          </w:p>
        </w:tc>
      </w:tr>
    </w:tbl>
    <w:p/>
    <w:p/>
    <w:p/>
    <w:p/>
    <w:p>
      <w:pPr>
        <w:rPr>
          <w:rFonts w:hint="eastAsia"/>
        </w:rPr>
      </w:pPr>
    </w:p>
    <w:p/>
    <w:p/>
    <w:p>
      <w:pPr>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附件2：</w:t>
      </w:r>
    </w:p>
    <w:p>
      <w:pPr>
        <w:jc w:val="center"/>
        <w:rPr>
          <w:rFonts w:ascii="方正小标宋_GBK" w:hAnsi="方正仿宋_GBK" w:eastAsia="方正小标宋_GBK" w:cs="方正仿宋_GBK"/>
          <w:sz w:val="44"/>
          <w:szCs w:val="44"/>
        </w:rPr>
      </w:pPr>
      <w:r>
        <w:rPr>
          <w:rFonts w:hint="eastAsia" w:ascii="方正小标宋_GBK" w:hAnsi="方正仿宋_GBK" w:eastAsia="方正小标宋_GBK" w:cs="方正仿宋_GBK"/>
          <w:sz w:val="44"/>
          <w:szCs w:val="44"/>
        </w:rPr>
        <w:t>专利预审服务分类号反馈意见表</w:t>
      </w:r>
    </w:p>
    <w:p>
      <w:pPr>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填报单位名称：</w:t>
      </w:r>
      <w:r>
        <w:rPr>
          <w:rFonts w:hint="eastAsia" w:ascii="方正仿宋_GBK" w:hAnsi="方正仿宋_GBK" w:eastAsia="方正仿宋_GBK" w:cs="方正仿宋_GBK"/>
          <w:sz w:val="32"/>
          <w:szCs w:val="32"/>
          <w:u w:val="single"/>
        </w:rPr>
        <w:t xml:space="preserve">                       （盖章）  </w:t>
      </w:r>
      <w:r>
        <w:rPr>
          <w:rFonts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u w:val="single"/>
        </w:rPr>
        <w:t xml:space="preserve">   </w:t>
      </w:r>
    </w:p>
    <w:p>
      <w:pPr>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联系人： </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 xml:space="preserve">联系电话： </w:t>
      </w:r>
      <w:r>
        <w:rPr>
          <w:rFonts w:hint="eastAsia" w:ascii="方正仿宋_GBK" w:hAnsi="方正仿宋_GBK" w:eastAsia="方正仿宋_GBK" w:cs="方正仿宋_GBK"/>
          <w:sz w:val="32"/>
          <w:szCs w:val="32"/>
          <w:u w:val="single"/>
        </w:rPr>
        <w:t xml:space="preserve">                            </w:t>
      </w:r>
      <w:r>
        <w:rPr>
          <w:rFonts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u w:val="single"/>
        </w:rPr>
        <w:t xml:space="preserve">  </w:t>
      </w:r>
    </w:p>
    <w:tbl>
      <w:tblPr>
        <w:tblStyle w:val="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5"/>
        <w:gridCol w:w="1467"/>
        <w:gridCol w:w="3763"/>
        <w:gridCol w:w="2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25"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优先度顺序</w:t>
            </w:r>
          </w:p>
        </w:tc>
        <w:tc>
          <w:tcPr>
            <w:tcW w:w="1467"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分类号（小类）</w:t>
            </w:r>
          </w:p>
        </w:tc>
        <w:tc>
          <w:tcPr>
            <w:tcW w:w="3763"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具体建议或意见</w:t>
            </w:r>
          </w:p>
        </w:tc>
        <w:tc>
          <w:tcPr>
            <w:tcW w:w="2184"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预计年提交预审量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w:t>
            </w:r>
          </w:p>
        </w:tc>
        <w:tc>
          <w:tcPr>
            <w:tcW w:w="1467" w:type="dxa"/>
            <w:vAlign w:val="center"/>
          </w:tcPr>
          <w:p>
            <w:pPr>
              <w:jc w:val="center"/>
              <w:rPr>
                <w:rFonts w:ascii="方正仿宋_GBK" w:hAnsi="方正仿宋_GBK" w:eastAsia="方正仿宋_GBK" w:cs="方正仿宋_GBK"/>
                <w:sz w:val="28"/>
                <w:szCs w:val="28"/>
              </w:rPr>
            </w:pPr>
          </w:p>
        </w:tc>
        <w:tc>
          <w:tcPr>
            <w:tcW w:w="3763" w:type="dxa"/>
            <w:vAlign w:val="center"/>
          </w:tcPr>
          <w:p>
            <w:pPr>
              <w:jc w:val="center"/>
              <w:rPr>
                <w:rFonts w:ascii="方正仿宋_GBK" w:hAnsi="方正仿宋_GBK" w:eastAsia="方正仿宋_GBK" w:cs="方正仿宋_GBK"/>
                <w:sz w:val="28"/>
                <w:szCs w:val="28"/>
              </w:rPr>
            </w:pPr>
          </w:p>
          <w:p>
            <w:pPr>
              <w:jc w:val="center"/>
              <w:rPr>
                <w:rFonts w:ascii="方正仿宋_GBK" w:hAnsi="方正仿宋_GBK" w:eastAsia="方正仿宋_GBK" w:cs="方正仿宋_GBK"/>
                <w:sz w:val="28"/>
                <w:szCs w:val="28"/>
              </w:rPr>
            </w:pPr>
          </w:p>
        </w:tc>
        <w:tc>
          <w:tcPr>
            <w:tcW w:w="2184"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发明：</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实用新型：</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外观设计：</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Align w:val="center"/>
          </w:tcPr>
          <w:p>
            <w:pPr>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p>
        </w:tc>
        <w:tc>
          <w:tcPr>
            <w:tcW w:w="1467" w:type="dxa"/>
            <w:vAlign w:val="center"/>
          </w:tcPr>
          <w:p>
            <w:pPr>
              <w:jc w:val="center"/>
              <w:rPr>
                <w:rFonts w:ascii="方正仿宋_GBK" w:hAnsi="方正仿宋_GBK" w:eastAsia="方正仿宋_GBK" w:cs="方正仿宋_GBK"/>
                <w:sz w:val="32"/>
                <w:szCs w:val="32"/>
              </w:rPr>
            </w:pPr>
          </w:p>
        </w:tc>
        <w:tc>
          <w:tcPr>
            <w:tcW w:w="3763" w:type="dxa"/>
            <w:vAlign w:val="center"/>
          </w:tcPr>
          <w:p>
            <w:pPr>
              <w:jc w:val="center"/>
              <w:rPr>
                <w:rFonts w:ascii="方正仿宋_GBK" w:hAnsi="方正仿宋_GBK" w:eastAsia="方正仿宋_GBK" w:cs="方正仿宋_GBK"/>
                <w:sz w:val="32"/>
                <w:szCs w:val="32"/>
              </w:rPr>
            </w:pPr>
          </w:p>
          <w:p>
            <w:pPr>
              <w:jc w:val="center"/>
              <w:rPr>
                <w:rFonts w:ascii="方正仿宋_GBK" w:hAnsi="方正仿宋_GBK" w:eastAsia="方正仿宋_GBK" w:cs="方正仿宋_GBK"/>
                <w:sz w:val="32"/>
                <w:szCs w:val="32"/>
              </w:rPr>
            </w:pPr>
          </w:p>
        </w:tc>
        <w:tc>
          <w:tcPr>
            <w:tcW w:w="2184"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发明：</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实用新型：</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p>
            <w:pPr>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28"/>
                <w:szCs w:val="28"/>
              </w:rPr>
              <w:t>外观设计：</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Align w:val="center"/>
          </w:tcPr>
          <w:p>
            <w:pPr>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w:t>
            </w:r>
          </w:p>
        </w:tc>
        <w:tc>
          <w:tcPr>
            <w:tcW w:w="1467" w:type="dxa"/>
            <w:vAlign w:val="center"/>
          </w:tcPr>
          <w:p>
            <w:pPr>
              <w:jc w:val="center"/>
              <w:rPr>
                <w:rFonts w:ascii="方正仿宋_GBK" w:hAnsi="方正仿宋_GBK" w:eastAsia="方正仿宋_GBK" w:cs="方正仿宋_GBK"/>
                <w:sz w:val="32"/>
                <w:szCs w:val="32"/>
              </w:rPr>
            </w:pPr>
          </w:p>
        </w:tc>
        <w:tc>
          <w:tcPr>
            <w:tcW w:w="3763" w:type="dxa"/>
            <w:vAlign w:val="center"/>
          </w:tcPr>
          <w:p>
            <w:pPr>
              <w:jc w:val="center"/>
              <w:rPr>
                <w:rFonts w:ascii="方正仿宋_GBK" w:hAnsi="方正仿宋_GBK" w:eastAsia="方正仿宋_GBK" w:cs="方正仿宋_GBK"/>
                <w:sz w:val="32"/>
                <w:szCs w:val="32"/>
              </w:rPr>
            </w:pPr>
          </w:p>
          <w:p>
            <w:pPr>
              <w:jc w:val="center"/>
              <w:rPr>
                <w:rFonts w:ascii="方正仿宋_GBK" w:hAnsi="方正仿宋_GBK" w:eastAsia="方正仿宋_GBK" w:cs="方正仿宋_GBK"/>
                <w:sz w:val="32"/>
                <w:szCs w:val="32"/>
              </w:rPr>
            </w:pPr>
          </w:p>
        </w:tc>
        <w:tc>
          <w:tcPr>
            <w:tcW w:w="2184"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发明：</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实用新型：</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p>
            <w:pPr>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28"/>
                <w:szCs w:val="28"/>
              </w:rPr>
              <w:t>外观设计：</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vAlign w:val="center"/>
          </w:tcPr>
          <w:p>
            <w:pPr>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w:t>
            </w:r>
          </w:p>
        </w:tc>
        <w:tc>
          <w:tcPr>
            <w:tcW w:w="1467" w:type="dxa"/>
            <w:vAlign w:val="center"/>
          </w:tcPr>
          <w:p>
            <w:pPr>
              <w:jc w:val="center"/>
              <w:rPr>
                <w:rFonts w:ascii="方正仿宋_GBK" w:hAnsi="方正仿宋_GBK" w:eastAsia="方正仿宋_GBK" w:cs="方正仿宋_GBK"/>
                <w:sz w:val="32"/>
                <w:szCs w:val="32"/>
              </w:rPr>
            </w:pPr>
          </w:p>
        </w:tc>
        <w:tc>
          <w:tcPr>
            <w:tcW w:w="3763" w:type="dxa"/>
            <w:vAlign w:val="center"/>
          </w:tcPr>
          <w:p>
            <w:pPr>
              <w:jc w:val="center"/>
              <w:rPr>
                <w:rFonts w:ascii="方正仿宋_GBK" w:hAnsi="方正仿宋_GBK" w:eastAsia="方正仿宋_GBK" w:cs="方正仿宋_GBK"/>
                <w:sz w:val="32"/>
                <w:szCs w:val="32"/>
              </w:rPr>
            </w:pPr>
          </w:p>
          <w:p>
            <w:pPr>
              <w:jc w:val="center"/>
              <w:rPr>
                <w:rFonts w:ascii="方正仿宋_GBK" w:hAnsi="方正仿宋_GBK" w:eastAsia="方正仿宋_GBK" w:cs="方正仿宋_GBK"/>
                <w:sz w:val="32"/>
                <w:szCs w:val="32"/>
              </w:rPr>
            </w:pPr>
          </w:p>
        </w:tc>
        <w:tc>
          <w:tcPr>
            <w:tcW w:w="2184" w:type="dxa"/>
            <w:vAlign w:val="center"/>
          </w:tcPr>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发明：</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实用新型：</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p>
            <w:pPr>
              <w:jc w:val="cente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外观设计：</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件</w:t>
            </w:r>
          </w:p>
        </w:tc>
      </w:tr>
    </w:tbl>
    <w:p>
      <w:pPr>
        <w:spacing w:line="280" w:lineRule="exact"/>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备注：各单位根据自身实际需求，完整填写《专利预审服务分类号反馈意见表》，将电子版及盖章扫描件发送至电子邮箱xzszscqbhzx@163.com。</w:t>
      </w:r>
    </w:p>
    <w:p>
      <w:pPr>
        <w:spacing w:line="280" w:lineRule="exact"/>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2023版IPC分类号链接：https://www.cnipa.gov.cn/art/2023/5/26/art_3161_185372.html；</w:t>
      </w:r>
    </w:p>
    <w:p>
      <w:pPr>
        <w:spacing w:line="280" w:lineRule="exact"/>
        <w:jc w:val="left"/>
        <w:rPr>
          <w:rFonts w:ascii="方正仿宋_GBK" w:hAnsi="方正仿宋_GBK" w:eastAsia="方正仿宋_GBK" w:cs="方正仿宋_GBK"/>
          <w:sz w:val="24"/>
        </w:rPr>
      </w:pPr>
      <w:r>
        <w:rPr>
          <w:rFonts w:hint="eastAsia" w:ascii="方正仿宋_GBK" w:hAnsi="方正仿宋_GBK" w:eastAsia="方正仿宋_GBK" w:cs="方正仿宋_GBK"/>
          <w:sz w:val="24"/>
        </w:rPr>
        <w:t>第14版洛迦诺分类号链接：https://www.cnipa.gov.cn/module/download/down.jsp?i_ID=182113&amp;colID=3163。</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2ZWEzMWQzZThjMzQ5ZGIzZjcwYWU0MzYzZDU5YzEifQ=="/>
  </w:docVars>
  <w:rsids>
    <w:rsidRoot w:val="001C4DCB"/>
    <w:rsid w:val="001C4DCB"/>
    <w:rsid w:val="00C82077"/>
    <w:rsid w:val="165F6C7B"/>
    <w:rsid w:val="1833416F"/>
    <w:rsid w:val="19EB65F6"/>
    <w:rsid w:val="24CA17FC"/>
    <w:rsid w:val="322F72FD"/>
    <w:rsid w:val="342E697F"/>
    <w:rsid w:val="3B49364C"/>
    <w:rsid w:val="5CCB3F43"/>
    <w:rsid w:val="64205199"/>
    <w:rsid w:val="71776D7A"/>
    <w:rsid w:val="7C1E7299"/>
    <w:rsid w:val="7C857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5">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961</Words>
  <Characters>5479</Characters>
  <Lines>45</Lines>
  <Paragraphs>12</Paragraphs>
  <TotalTime>27</TotalTime>
  <ScaleCrop>false</ScaleCrop>
  <LinksUpToDate>false</LinksUpToDate>
  <CharactersWithSpaces>6428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2024-05-20T06:10:00Z</dcterms:created>
  <dc:creator>lenovo</dc:creator>
  <cp:lastModifiedBy>习惯-Smile</cp:lastModifiedBy>
  <dcterms:modified xsi:type="dcterms:W3CDTF">2024-05-20T07:33:51Z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7B3B9060DED04DF99093AC83BFE2F63C_13</vt:lpwstr>
  </property>
</Properties>
</file>