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5" w:line="233" w:lineRule="auto"/>
        <w:jc w:val="both"/>
        <w:rPr>
          <w:rFonts w:ascii="黑体" w:hAnsi="黑体" w:eastAsia="黑体" w:cs="仿宋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仿宋"/>
          <w:sz w:val="32"/>
          <w:szCs w:val="32"/>
        </w:rPr>
        <w:t>附件</w:t>
      </w:r>
    </w:p>
    <w:p>
      <w:pPr>
        <w:spacing w:line="360" w:lineRule="auto"/>
        <w:jc w:val="center"/>
        <w:rPr>
          <w:rFonts w:ascii="仿宋" w:hAnsi="仿宋" w:eastAsia="仿宋" w:cs="仿宋"/>
          <w:spacing w:val="4"/>
          <w:sz w:val="31"/>
          <w:szCs w:val="31"/>
        </w:rPr>
      </w:pPr>
      <w:r>
        <w:rPr>
          <w:rFonts w:hint="eastAsia" w:ascii="方正小标宋_GBK" w:hAnsi="微软雅黑" w:eastAsia="方正小标宋_GBK" w:cs="微软雅黑"/>
          <w:sz w:val="44"/>
          <w:szCs w:val="44"/>
        </w:rPr>
        <w:t>专利预审申请额度管理指标（试行）</w:t>
      </w:r>
    </w:p>
    <w:p>
      <w:pPr>
        <w:pStyle w:val="3"/>
        <w:ind w:firstLine="64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徐州保护中心建立《专利预审申请额度管理指标(试行)》，对符合条件的备案主体进行综合量化评价，并根据评价结果分级动态管理并分配预审服务数量。</w:t>
      </w:r>
    </w:p>
    <w:p>
      <w:pPr>
        <w:pStyle w:val="3"/>
        <w:ind w:firstLine="64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预审服务数量包括基础数量（基础分）、预审质量数量（预审案件分）和追加数量（追加分）。</w:t>
      </w:r>
    </w:p>
    <w:p>
      <w:pPr>
        <w:pStyle w:val="3"/>
        <w:ind w:firstLine="64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1.基础数量由备案企业上一年度的发明专利授权量确定，依据发明专利授权量的数值，按照统计学四分位数的概念，将备案主体划分为ABCD四个等级，并赋予相应的额度与分值。</w:t>
      </w:r>
    </w:p>
    <w:p>
      <w:pPr>
        <w:pStyle w:val="3"/>
        <w:ind w:firstLine="672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2"/>
          <w:szCs w:val="32"/>
        </w:rPr>
      </w:pPr>
    </w:p>
    <w:p>
      <w:pPr>
        <w:spacing w:line="360" w:lineRule="auto"/>
        <w:ind w:firstLine="420"/>
        <w:jc w:val="center"/>
        <w:rPr>
          <w:rFonts w:ascii="仿宋_GB2312" w:hAnsi="仿宋" w:eastAsia="仿宋_GB2312" w:cs="仿宋"/>
          <w:spacing w:val="8"/>
          <w:sz w:val="18"/>
          <w:szCs w:val="18"/>
        </w:rPr>
      </w:pPr>
      <w:r>
        <w:rPr>
          <w:rFonts w:hint="eastAsia" w:ascii="仿宋_GB2312" w:hAnsi="仿宋" w:eastAsia="仿宋_GB2312" w:cs="仿宋"/>
          <w:spacing w:val="8"/>
          <w:sz w:val="18"/>
          <w:szCs w:val="18"/>
        </w:rPr>
        <w:t>表一 企业基础分指标及配额设置</w:t>
      </w:r>
    </w:p>
    <w:tbl>
      <w:tblPr>
        <w:tblStyle w:val="6"/>
        <w:tblW w:w="73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417"/>
        <w:gridCol w:w="1417"/>
        <w:gridCol w:w="1417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备案主体基础分指标及配额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基础等级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B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配额设置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分值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</w:t>
            </w:r>
          </w:p>
        </w:tc>
      </w:tr>
    </w:tbl>
    <w:p>
      <w:pPr>
        <w:pStyle w:val="3"/>
        <w:ind w:firstLine="672"/>
        <w:jc w:val="center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2"/>
          <w:szCs w:val="32"/>
        </w:rPr>
      </w:pPr>
    </w:p>
    <w:p>
      <w:pPr>
        <w:pStyle w:val="3"/>
        <w:numPr>
          <w:ilvl w:val="0"/>
          <w:numId w:val="1"/>
        </w:numPr>
        <w:ind w:firstLine="64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预审质量数量根据企业预审案件总体情况计算得分，将备案主体划分为ABCD四个等级，并赋予相应的额度与分值。</w:t>
      </w:r>
    </w:p>
    <w:p>
      <w:pPr>
        <w:pStyle w:val="3"/>
        <w:ind w:firstLine="0" w:firstLineChars="0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1"/>
          <w:szCs w:val="31"/>
        </w:rPr>
      </w:pPr>
    </w:p>
    <w:p>
      <w:pPr>
        <w:pStyle w:val="3"/>
        <w:ind w:firstLine="0" w:firstLineChars="0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1"/>
          <w:szCs w:val="31"/>
        </w:rPr>
      </w:pPr>
    </w:p>
    <w:p>
      <w:pPr>
        <w:pStyle w:val="3"/>
        <w:ind w:firstLine="0" w:firstLineChars="0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1"/>
          <w:szCs w:val="31"/>
        </w:rPr>
      </w:pPr>
    </w:p>
    <w:p>
      <w:pPr>
        <w:pStyle w:val="3"/>
        <w:ind w:firstLine="0" w:firstLineChars="0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1"/>
          <w:szCs w:val="31"/>
        </w:rPr>
      </w:pPr>
    </w:p>
    <w:p>
      <w:pPr>
        <w:pStyle w:val="3"/>
        <w:ind w:firstLine="0" w:firstLineChars="0"/>
        <w:rPr>
          <w:rFonts w:ascii="仿宋_GB2312" w:hAnsi="仿宋" w:eastAsia="仿宋_GB2312" w:cs="仿宋"/>
          <w:snapToGrid w:val="0"/>
          <w:color w:val="000000"/>
          <w:spacing w:val="8"/>
          <w:kern w:val="0"/>
          <w:sz w:val="31"/>
          <w:szCs w:val="31"/>
        </w:rPr>
      </w:pPr>
    </w:p>
    <w:p>
      <w:pPr>
        <w:pStyle w:val="3"/>
        <w:ind w:firstLine="0" w:firstLineChars="0"/>
        <w:jc w:val="center"/>
        <w:rPr>
          <w:rFonts w:ascii="方正仿宋_GBK" w:hAnsi="仿宋" w:eastAsia="方正仿宋_GBK" w:cs="仿宋"/>
          <w:snapToGrid w:val="0"/>
          <w:color w:val="000000"/>
          <w:spacing w:val="8"/>
          <w:kern w:val="0"/>
          <w:sz w:val="31"/>
          <w:szCs w:val="31"/>
        </w:rPr>
      </w:pPr>
      <w:r>
        <w:rPr>
          <w:rFonts w:hint="eastAsia" w:ascii="方正仿宋_GBK" w:hAnsi="仿宋" w:eastAsia="方正仿宋_GBK" w:cs="仿宋"/>
          <w:snapToGrid w:val="0"/>
          <w:color w:val="000000"/>
          <w:spacing w:val="8"/>
          <w:kern w:val="0"/>
          <w:sz w:val="18"/>
          <w:szCs w:val="18"/>
        </w:rPr>
        <w:t>表二 备案主体案件总体情况得分指标</w:t>
      </w:r>
    </w:p>
    <w:tbl>
      <w:tblPr>
        <w:tblStyle w:val="6"/>
        <w:tblW w:w="9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337"/>
        <w:gridCol w:w="987"/>
        <w:gridCol w:w="4663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63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一级指标</w:t>
            </w:r>
          </w:p>
        </w:tc>
        <w:tc>
          <w:tcPr>
            <w:tcW w:w="5650" w:type="dxa"/>
            <w:gridSpan w:val="2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二级指标</w:t>
            </w:r>
          </w:p>
        </w:tc>
        <w:tc>
          <w:tcPr>
            <w:tcW w:w="1438" w:type="dxa"/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分值上限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</w:t>
            </w:r>
          </w:p>
        </w:tc>
        <w:tc>
          <w:tcPr>
            <w:tcW w:w="1337" w:type="dxa"/>
            <w:vMerge w:val="restart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基础项</w:t>
            </w:r>
          </w:p>
        </w:tc>
        <w:tc>
          <w:tcPr>
            <w:tcW w:w="5650" w:type="dxa"/>
            <w:gridSpan w:val="2"/>
            <w:vAlign w:val="center"/>
          </w:tcPr>
          <w:p>
            <w:pPr>
              <w:jc w:val="both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在徐州保护中心完成预审备案的，加40分。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</w:p>
        </w:tc>
        <w:tc>
          <w:tcPr>
            <w:tcW w:w="5650" w:type="dxa"/>
            <w:gridSpan w:val="2"/>
            <w:vAlign w:val="center"/>
          </w:tcPr>
          <w:p>
            <w:pPr>
              <w:jc w:val="both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被徐州保护中心取消备案资格的，减15分；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被徐州保护中心暂缓预审服务6个月及以下的，减10分；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被徐州保护中心予以提醒的，减5分。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2" w:hRule="atLeast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2</w:t>
            </w:r>
          </w:p>
        </w:tc>
        <w:tc>
          <w:tcPr>
            <w:tcW w:w="1337" w:type="dxa"/>
            <w:vMerge w:val="restart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预审请求质量</w:t>
            </w:r>
          </w:p>
        </w:tc>
        <w:tc>
          <w:tcPr>
            <w:tcW w:w="987" w:type="dxa"/>
          </w:tcPr>
          <w:p>
            <w:pPr>
              <w:jc w:val="center"/>
              <w:textAlignment w:val="top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上年度，发明专利预审合格率</w:t>
            </w:r>
          </w:p>
        </w:tc>
        <w:tc>
          <w:tcPr>
            <w:tcW w:w="4663" w:type="dxa"/>
          </w:tcPr>
          <w:p>
            <w:pPr>
              <w:jc w:val="both"/>
              <w:textAlignment w:val="top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发明专利预审申请数量5件以下：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合格率100%的，每件加7分；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合格率65%(含)-100%的，每合格一件加6分；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合格率50%(含)-65%的，每合格一件加2分。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发明专利预审案件数量5件及以上：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合格率90%(含)-100%的，加30分；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合格率80%(含)-90%的，20分；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合格率70%(含)-80%的，加10分；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合格率60%(含)-70%的，加5分；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合格率50%(含)-60%的，加1分。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atLeast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</w:p>
        </w:tc>
        <w:tc>
          <w:tcPr>
            <w:tcW w:w="1337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</w:rPr>
            </w:pPr>
          </w:p>
        </w:tc>
        <w:tc>
          <w:tcPr>
            <w:tcW w:w="987" w:type="dxa"/>
          </w:tcPr>
          <w:p>
            <w:pPr>
              <w:textAlignment w:val="top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上年度，发明专利预审授权率   （授权量/（授权量+驳回量））</w:t>
            </w:r>
          </w:p>
        </w:tc>
        <w:tc>
          <w:tcPr>
            <w:tcW w:w="4663" w:type="dxa"/>
          </w:tcPr>
          <w:p>
            <w:pPr>
              <w:jc w:val="both"/>
              <w:textAlignment w:val="top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发明专利预审申请数量5件以下：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 100%的，每件加7分；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 65%(含)-100%的，每合格一件加6分；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 50%(含)-65%的，每合格一件加2分。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发明专利预审案件数量5件及以上：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授权率90%(含)-100%的，加30分；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授权率80%(含)-90%的，20分；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授权率70%(含)-80%的，加10分；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授权率60%(含)-70%的，加5分；</w:t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授权率50%(含)-60%的，加1分。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30</w:t>
            </w:r>
          </w:p>
        </w:tc>
      </w:tr>
    </w:tbl>
    <w:p>
      <w:pPr>
        <w:spacing w:before="312" w:beforeLines="100" w:line="360" w:lineRule="auto"/>
        <w:ind w:firstLine="420"/>
        <w:jc w:val="center"/>
        <w:rPr>
          <w:rFonts w:ascii="方正仿宋_GBK" w:hAnsi="仿宋" w:eastAsia="方正仿宋_GBK" w:cs="仿宋"/>
          <w:spacing w:val="8"/>
          <w:sz w:val="18"/>
          <w:szCs w:val="18"/>
        </w:rPr>
      </w:pPr>
      <w:bookmarkStart w:id="0" w:name="_Toc13180"/>
      <w:r>
        <w:rPr>
          <w:rFonts w:hint="eastAsia" w:ascii="方正仿宋_GBK" w:hAnsi="仿宋" w:eastAsia="方正仿宋_GBK" w:cs="仿宋"/>
          <w:spacing w:val="8"/>
          <w:sz w:val="18"/>
          <w:szCs w:val="18"/>
        </w:rPr>
        <w:t>表三 备案主体案件总体情况分级及配额设置</w:t>
      </w:r>
    </w:p>
    <w:bookmarkEnd w:id="0"/>
    <w:tbl>
      <w:tblPr>
        <w:tblStyle w:val="6"/>
        <w:tblW w:w="736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417"/>
        <w:gridCol w:w="1417"/>
        <w:gridCol w:w="1417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3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备案主体预审案件分级及配额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分值区间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81-100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71-80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61-70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50-60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等级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A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B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额度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</w:t>
            </w:r>
          </w:p>
        </w:tc>
      </w:tr>
    </w:tbl>
    <w:p>
      <w:pPr>
        <w:spacing w:line="360" w:lineRule="auto"/>
        <w:ind w:firstLine="652" w:firstLineChars="200"/>
        <w:rPr>
          <w:rFonts w:ascii="方正仿宋_GBK" w:hAnsi="仿宋" w:eastAsia="方正仿宋_GBK" w:cs="仿宋"/>
          <w:spacing w:val="8"/>
          <w:sz w:val="31"/>
          <w:szCs w:val="31"/>
        </w:rPr>
      </w:pPr>
      <w:r>
        <w:rPr>
          <w:rFonts w:hint="eastAsia" w:ascii="方正仿宋_GBK" w:hAnsi="仿宋" w:eastAsia="方正仿宋_GBK" w:cs="仿宋"/>
          <w:spacing w:val="8"/>
          <w:sz w:val="31"/>
          <w:szCs w:val="31"/>
        </w:rPr>
        <w:t>3.追加数量，即对创新能力强、预审需求大的企业进行追加。</w:t>
      </w:r>
    </w:p>
    <w:tbl>
      <w:tblPr>
        <w:tblStyle w:val="6"/>
        <w:tblW w:w="10065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51"/>
        <w:gridCol w:w="3986"/>
        <w:gridCol w:w="472"/>
        <w:gridCol w:w="40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0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备案主体追加预审服务数量项目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主体资质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资质包括但不限于：上市企业（含后备）、专精特新“小巨人”企业、国家高新技术企业、以及入选知识产权示范、贯标企业、国家实验室等重点单位。（需提供有效的资质认定时间、认定单位以及认定内容等佐证材料，并加盖单位公章。）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10分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 xml:space="preserve">每承接1项有效的国家级资质，加3分；                </w:t>
            </w:r>
          </w:p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 xml:space="preserve">每承接1项有效的省市级资质，加2分；            </w:t>
            </w:r>
          </w:p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每承担1项有效的市级资质，加1分；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项目承接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承接国家级、省市级、市知识产权局或徐州保护中心科技创新和知识产权项目数量。（需要提供项目申报书、项目立项、协议、合同等佐证材料，并加盖单位公章。）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8分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 xml:space="preserve">每承接1项有效国家级科技创新项目，加3分；    </w:t>
            </w:r>
          </w:p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 xml:space="preserve">每承接1项省级科技项目，加2分；                  </w:t>
            </w:r>
          </w:p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每承担1项市级或徐州保护中心知识产权项目的，加1分；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信息报送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评价年度内，向保护中心反馈预审典型案例的情况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12分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提供的预审典型案例包括但不限于：高质量预审助力快速获得授权、授权发明创造产生了较好的转化应用效果、解决了关键“卡脖子”技术问题、取得了较好的经济、社会价值等，每被徐州保护中心采纳一次，加3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能力培养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评价年度内，积极参加徐州保护中心组织的各项业务培训，以徐州中心统计为准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3分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根据企业参加业务培训、问卷调查、配合工作的情况，加1-3分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spacing w:val="8"/>
                <w:sz w:val="24"/>
              </w:rPr>
            </w:pPr>
          </w:p>
        </w:tc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" w:eastAsia="仿宋_GB2312" w:cs="仿宋"/>
                <w:spacing w:val="8"/>
                <w:sz w:val="24"/>
              </w:rPr>
            </w:pPr>
            <w:r>
              <w:rPr>
                <w:rFonts w:hint="eastAsia" w:ascii="仿宋_GB2312" w:hAnsi="仿宋" w:eastAsia="仿宋_GB2312" w:cs="仿宋"/>
                <w:spacing w:val="8"/>
                <w:sz w:val="24"/>
                <w:szCs w:val="24"/>
              </w:rPr>
              <w:t>≥15分，追加数量15件；≥10分且＜15分，追加数量10个；≥5且＜10分，追加数量5个；＜5分，追加数量为0</w:t>
            </w:r>
          </w:p>
        </w:tc>
      </w:tr>
    </w:tbl>
    <w:p>
      <w:pPr>
        <w:spacing w:line="360" w:lineRule="auto"/>
        <w:ind w:firstLine="420"/>
        <w:jc w:val="center"/>
        <w:rPr>
          <w:rFonts w:ascii="方正仿宋_GBK" w:hAnsi="仿宋" w:eastAsia="方正仿宋_GBK" w:cs="仿宋"/>
          <w:spacing w:val="8"/>
          <w:sz w:val="31"/>
          <w:szCs w:val="31"/>
        </w:rPr>
      </w:pPr>
      <w:r>
        <w:rPr>
          <w:rFonts w:hint="eastAsia" w:ascii="方正仿宋_GBK" w:hAnsi="仿宋" w:eastAsia="方正仿宋_GBK" w:cs="仿宋"/>
          <w:spacing w:val="8"/>
          <w:sz w:val="18"/>
          <w:szCs w:val="18"/>
        </w:rPr>
        <w:t>表四 备案主体附加得分指标及配额设置</w:t>
      </w:r>
    </w:p>
    <w:p>
      <w:pPr>
        <w:ind w:firstLine="652" w:firstLineChars="200"/>
        <w:rPr>
          <w:rFonts w:ascii="方正仿宋_GBK" w:hAnsi="仿宋" w:eastAsia="方正仿宋_GBK" w:cs="仿宋"/>
          <w:spacing w:val="8"/>
          <w:sz w:val="31"/>
          <w:szCs w:val="31"/>
        </w:rPr>
      </w:pPr>
      <w:r>
        <w:rPr>
          <w:rFonts w:hint="eastAsia" w:ascii="方正仿宋_GBK" w:hAnsi="仿宋" w:eastAsia="方正仿宋_GBK" w:cs="仿宋"/>
          <w:spacing w:val="8"/>
          <w:sz w:val="31"/>
          <w:szCs w:val="31"/>
        </w:rPr>
        <w:t>备案主体最终得分根据备案主体基础分+预审案件分*0.7+追加分，根据得分对备案主体进行排名与分级定档。其中，排名前15%的备案主体为A级，排名15%-80%的备案主体为B级，其余备案主体为C级。</w:t>
      </w:r>
    </w:p>
    <w:p/>
    <w:sectPr>
      <w:pgSz w:w="11906" w:h="16838"/>
      <w:pgMar w:top="1985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AA5BEB"/>
    <w:multiLevelType w:val="singleLevel"/>
    <w:tmpl w:val="FAAA5BE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68"/>
    <w:rsid w:val="00055F68"/>
    <w:rsid w:val="0052042D"/>
    <w:rsid w:val="00596C28"/>
    <w:rsid w:val="00921902"/>
    <w:rsid w:val="00AF1FF2"/>
    <w:rsid w:val="5BFF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autoRedefine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8">
    <w:name w:val="样式1"/>
    <w:basedOn w:val="2"/>
    <w:link w:val="9"/>
    <w:qFormat/>
    <w:uiPriority w:val="0"/>
    <w:rPr>
      <w:rFonts w:ascii="Calibri" w:hAnsi="Calibri" w:eastAsia="宋体" w:cs="Times New Roman"/>
      <w:sz w:val="28"/>
    </w:rPr>
  </w:style>
  <w:style w:type="character" w:customStyle="1" w:styleId="9">
    <w:name w:val="样式1 字符"/>
    <w:basedOn w:val="10"/>
    <w:link w:val="8"/>
    <w:qFormat/>
    <w:uiPriority w:val="0"/>
    <w:rPr>
      <w:rFonts w:ascii="Calibri" w:hAnsi="Calibri" w:eastAsia="宋体" w:cs="Times New Roman"/>
      <w:kern w:val="44"/>
      <w:sz w:val="28"/>
      <w:szCs w:val="44"/>
    </w:rPr>
  </w:style>
  <w:style w:type="character" w:customStyle="1" w:styleId="10">
    <w:name w:val="标题 1 字符"/>
    <w:basedOn w:val="7"/>
    <w:link w:val="2"/>
    <w:uiPriority w:val="9"/>
    <w:rPr>
      <w:b/>
      <w:bCs/>
      <w:kern w:val="44"/>
      <w:sz w:val="44"/>
      <w:szCs w:val="44"/>
    </w:rPr>
  </w:style>
  <w:style w:type="character" w:customStyle="1" w:styleId="11">
    <w:name w:val="页眉 字符"/>
    <w:basedOn w:val="7"/>
    <w:link w:val="5"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1488</Words>
  <Characters>1662</Characters>
  <Lines>13</Lines>
  <Paragraphs>3</Paragraphs>
  <TotalTime>1</TotalTime>
  <ScaleCrop>false</ScaleCrop>
  <LinksUpToDate>false</LinksUpToDate>
  <CharactersWithSpaces>1722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2023-12-27T09:06:00Z</dcterms:created>
  <dc:creator>lenovo</dc:creator>
  <cp:lastModifiedBy>刘洋</cp:lastModifiedBy>
  <dcterms:modified xsi:type="dcterms:W3CDTF">2024-06-24T03:15:19Z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C9ABD9A867664DD2B727ED4A3130B5A2_13</vt:lpwstr>
  </property>
</Properties>
</file>