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lang w:eastAsia="zh-CN"/>
        </w:rPr>
      </w:pPr>
      <w:bookmarkStart w:id="2" w:name="_GoBack"/>
      <w:bookmarkEnd w:id="2"/>
      <w:r>
        <w:rPr>
          <w:lang w:eastAsia="zh-CN"/>
        </w:rPr>
        <w:t>嘉兴市知识产权保护中心</w:t>
      </w:r>
    </w:p>
    <w:p>
      <w:pPr>
        <w:pStyle w:val="2"/>
        <w:rPr>
          <w:lang w:eastAsia="zh-CN"/>
        </w:rPr>
      </w:pPr>
      <w:r>
        <w:rPr>
          <w:lang w:eastAsia="zh-CN"/>
        </w:rPr>
        <w:t>专利申请预审服务管理办法</w:t>
      </w:r>
    </w:p>
    <w:p>
      <w:pPr>
        <w:pStyle w:val="5"/>
        <w:spacing w:line="560" w:lineRule="exact"/>
        <w:ind w:left="0"/>
        <w:jc w:val="center"/>
        <w:rPr>
          <w:rFonts w:ascii="黑体" w:eastAsia="黑体"/>
          <w:lang w:eastAsia="zh-CN"/>
        </w:rPr>
      </w:pPr>
    </w:p>
    <w:p>
      <w:pPr>
        <w:pStyle w:val="5"/>
        <w:spacing w:line="560" w:lineRule="exact"/>
        <w:ind w:left="0"/>
        <w:jc w:val="center"/>
        <w:rPr>
          <w:rFonts w:ascii="黑体" w:eastAsia="黑体"/>
          <w:lang w:eastAsia="zh-CN"/>
        </w:rPr>
      </w:pPr>
      <w:r>
        <w:rPr>
          <w:rFonts w:hint="eastAsia" w:ascii="黑体" w:eastAsia="黑体"/>
          <w:lang w:eastAsia="zh-CN"/>
        </w:rPr>
        <w:t>第一章 总则</w:t>
      </w:r>
    </w:p>
    <w:p>
      <w:pPr>
        <w:pStyle w:val="5"/>
        <w:spacing w:line="560" w:lineRule="exact"/>
        <w:ind w:left="0" w:firstLine="641"/>
        <w:jc w:val="both"/>
        <w:rPr>
          <w:lang w:eastAsia="zh-CN"/>
        </w:rPr>
      </w:pPr>
      <w:r>
        <w:rPr>
          <w:b/>
          <w:lang w:eastAsia="zh-CN"/>
        </w:rPr>
        <w:t xml:space="preserve">第一条 </w:t>
      </w:r>
      <w:r>
        <w:rPr>
          <w:lang w:eastAsia="zh-CN"/>
        </w:rPr>
        <w:t>为提升专利申请预审服务质效，充分发挥专利申请预审服务对创新发展的支撑和促进作用，进一步规范专利申请预</w:t>
      </w:r>
      <w:r>
        <w:rPr>
          <w:w w:val="95"/>
          <w:lang w:eastAsia="zh-CN"/>
        </w:rPr>
        <w:t>审行为，根据《专利申请预审业务管理办法（试行）》（国知办发</w:t>
      </w:r>
      <w:r>
        <w:rPr>
          <w:lang w:eastAsia="zh-CN"/>
        </w:rPr>
        <w:t>办字〔2023〕25号）、《关于规范申请专利行为的办法》（国家知识产权局公告第411号）、《国家知识产权局知识产权信用管理规定》（国知发保字〔2022〕8号）等有关政策文件要求，结合</w:t>
      </w:r>
      <w:r>
        <w:rPr>
          <w:rFonts w:hint="eastAsia" w:ascii="仿宋" w:hAnsi="仿宋" w:eastAsia="仿宋"/>
          <w:lang w:eastAsia="zh-CN"/>
        </w:rPr>
        <w:t>嘉</w:t>
      </w:r>
      <w:r>
        <w:rPr>
          <w:rFonts w:hint="eastAsia" w:ascii="仿宋" w:hAnsi="仿宋" w:eastAsia="仿宋"/>
          <w:w w:val="99"/>
          <w:lang w:eastAsia="zh-CN"/>
        </w:rPr>
        <w:t>兴市</w:t>
      </w:r>
      <w:r>
        <w:rPr>
          <w:w w:val="99"/>
          <w:lang w:eastAsia="zh-CN"/>
        </w:rPr>
        <w:t>知识产权保护中心（以下简称“</w:t>
      </w:r>
      <w:r>
        <w:rPr>
          <w:rFonts w:hint="eastAsia" w:ascii="仿宋" w:hAnsi="仿宋" w:eastAsia="仿宋"/>
          <w:w w:val="99"/>
          <w:lang w:eastAsia="zh-CN"/>
        </w:rPr>
        <w:t>嘉兴</w:t>
      </w:r>
      <w:r>
        <w:rPr>
          <w:w w:val="99"/>
          <w:lang w:eastAsia="zh-CN"/>
        </w:rPr>
        <w:t>保护中心”）专利申请</w:t>
      </w:r>
      <w:r>
        <w:rPr>
          <w:lang w:eastAsia="zh-CN"/>
        </w:rPr>
        <w:t>预审工作实际，制定本办法。</w:t>
      </w:r>
    </w:p>
    <w:p>
      <w:pPr>
        <w:pStyle w:val="5"/>
        <w:spacing w:line="560" w:lineRule="exact"/>
        <w:ind w:left="0" w:firstLine="641"/>
        <w:jc w:val="both"/>
        <w:rPr>
          <w:u w:val="single"/>
          <w:lang w:eastAsia="zh-CN"/>
        </w:rPr>
      </w:pPr>
      <w:r>
        <w:rPr>
          <w:b/>
          <w:highlight w:val="yellow"/>
          <w:lang w:eastAsia="zh-CN"/>
        </w:rPr>
        <w:t xml:space="preserve">第二条 </w:t>
      </w:r>
      <w:r>
        <w:rPr>
          <w:rFonts w:hint="eastAsia" w:ascii="仿宋" w:eastAsia="仿宋"/>
          <w:highlight w:val="yellow"/>
          <w:lang w:eastAsia="zh-CN"/>
        </w:rPr>
        <w:t>嘉兴</w:t>
      </w:r>
      <w:r>
        <w:rPr>
          <w:highlight w:val="yellow"/>
          <w:lang w:eastAsia="zh-CN"/>
        </w:rPr>
        <w:t>保护中心负责对国家知识产权局批复产业领域的专利申请开展预审服务和预审管理，支持高质量专利申请进入国家知识产权局专利快速审查通道。</w:t>
      </w:r>
    </w:p>
    <w:p>
      <w:pPr>
        <w:pStyle w:val="5"/>
        <w:spacing w:line="560" w:lineRule="exact"/>
        <w:ind w:left="0" w:firstLine="641"/>
        <w:rPr>
          <w:lang w:eastAsia="zh-CN"/>
        </w:rPr>
      </w:pPr>
      <w:r>
        <w:rPr>
          <w:b/>
          <w:lang w:eastAsia="zh-CN"/>
        </w:rPr>
        <w:t xml:space="preserve">第三条 </w:t>
      </w:r>
      <w:r>
        <w:rPr>
          <w:lang w:eastAsia="zh-CN"/>
        </w:rPr>
        <w:t>本办法所称备案主体是指在</w:t>
      </w:r>
      <w:r>
        <w:rPr>
          <w:rFonts w:hint="eastAsia" w:ascii="仿宋" w:eastAsia="仿宋"/>
          <w:lang w:eastAsia="zh-CN"/>
        </w:rPr>
        <w:t>嘉兴</w:t>
      </w:r>
      <w:r>
        <w:rPr>
          <w:lang w:eastAsia="zh-CN"/>
        </w:rPr>
        <w:t>保护中心完成专利预审备案审核的企事业单位。</w:t>
      </w:r>
    </w:p>
    <w:p>
      <w:pPr>
        <w:pStyle w:val="5"/>
        <w:spacing w:line="560" w:lineRule="exact"/>
        <w:ind w:left="0" w:firstLine="641"/>
        <w:rPr>
          <w:lang w:eastAsia="zh-CN"/>
        </w:rPr>
      </w:pPr>
      <w:r>
        <w:rPr>
          <w:lang w:eastAsia="zh-CN"/>
        </w:rPr>
        <w:t>本办法所称代理机构，是指备案主体委托办理专利申请预审相关业务的专利代理机构。</w:t>
      </w:r>
    </w:p>
    <w:p>
      <w:pPr>
        <w:pStyle w:val="5"/>
        <w:spacing w:line="560" w:lineRule="exact"/>
        <w:ind w:left="0" w:firstLine="641"/>
        <w:rPr>
          <w:lang w:eastAsia="zh-CN"/>
        </w:rPr>
      </w:pPr>
      <w:r>
        <w:rPr>
          <w:b/>
          <w:lang w:eastAsia="zh-CN"/>
        </w:rPr>
        <w:t xml:space="preserve">第四条 </w:t>
      </w:r>
      <w:r>
        <w:rPr>
          <w:lang w:eastAsia="zh-CN"/>
        </w:rPr>
        <w:t>本办法所称专利申请预审服务是指嘉兴保护中心对拟进入国家知识产权局快速审查通道的专利申请提供的</w:t>
      </w:r>
      <w:r>
        <w:rPr>
          <w:rFonts w:hint="eastAsia"/>
          <w:color w:val="404040"/>
          <w:lang w:eastAsia="zh-CN"/>
        </w:rPr>
        <w:t>前置审查服务。</w:t>
      </w:r>
    </w:p>
    <w:p>
      <w:pPr>
        <w:pStyle w:val="5"/>
        <w:spacing w:line="560" w:lineRule="exact"/>
        <w:ind w:left="0" w:firstLine="641"/>
        <w:rPr>
          <w:lang w:eastAsia="zh-CN"/>
        </w:rPr>
      </w:pPr>
    </w:p>
    <w:p>
      <w:pPr>
        <w:pStyle w:val="5"/>
        <w:spacing w:line="560" w:lineRule="exact"/>
        <w:ind w:left="0" w:firstLine="641"/>
        <w:rPr>
          <w:lang w:eastAsia="zh-CN"/>
        </w:rPr>
      </w:pPr>
      <w:r>
        <w:rPr>
          <w:b/>
          <w:lang w:eastAsia="zh-CN"/>
        </w:rPr>
        <w:t xml:space="preserve">第五条 </w:t>
      </w:r>
      <w:r>
        <w:rPr>
          <w:lang w:eastAsia="zh-CN"/>
        </w:rPr>
        <w:t>专利申请预审服务遵循“公平公益、主体自愿、优</w:t>
      </w:r>
      <w:r>
        <w:rPr>
          <w:w w:val="95"/>
          <w:lang w:eastAsia="zh-CN"/>
        </w:rPr>
        <w:t>质高效、规范有序”的原则。</w:t>
      </w:r>
      <w:r>
        <w:rPr>
          <w:rFonts w:hint="eastAsia" w:ascii="仿宋" w:hAnsi="仿宋" w:eastAsia="仿宋"/>
          <w:w w:val="95"/>
          <w:lang w:eastAsia="zh-CN"/>
        </w:rPr>
        <w:t>嘉兴</w:t>
      </w:r>
      <w:r>
        <w:rPr>
          <w:w w:val="95"/>
          <w:lang w:eastAsia="zh-CN"/>
        </w:rPr>
        <w:t>保护中心作出的专利申请预审</w:t>
      </w:r>
      <w:r>
        <w:rPr>
          <w:lang w:eastAsia="zh-CN"/>
        </w:rPr>
        <w:t>结论不影响专利申请的相关权益及其他快速审查程序。</w:t>
      </w:r>
    </w:p>
    <w:p>
      <w:pPr>
        <w:pStyle w:val="5"/>
        <w:spacing w:line="560" w:lineRule="exact"/>
        <w:ind w:left="0" w:firstLine="645"/>
        <w:jc w:val="both"/>
        <w:rPr>
          <w:lang w:eastAsia="zh-CN"/>
        </w:rPr>
      </w:pPr>
      <w:r>
        <w:rPr>
          <w:b/>
          <w:lang w:eastAsia="zh-CN"/>
        </w:rPr>
        <w:t xml:space="preserve">第六条 </w:t>
      </w:r>
      <w:r>
        <w:rPr>
          <w:lang w:eastAsia="zh-CN"/>
        </w:rPr>
        <w:t>备案主体及代理机构应积极配合</w:t>
      </w:r>
      <w:r>
        <w:rPr>
          <w:rFonts w:hint="eastAsia" w:ascii="仿宋" w:eastAsia="仿宋"/>
          <w:lang w:eastAsia="zh-CN"/>
        </w:rPr>
        <w:t>嘉兴</w:t>
      </w:r>
      <w:r>
        <w:rPr>
          <w:lang w:eastAsia="zh-CN"/>
        </w:rPr>
        <w:t>保护中心专利预审管理相关工作。备案主体委托代理机构办理专利申请预审相</w:t>
      </w:r>
      <w:r>
        <w:rPr>
          <w:w w:val="95"/>
          <w:lang w:eastAsia="zh-CN"/>
        </w:rPr>
        <w:t>关业务的，应选择诚信守法、代理质量好、服务水平高的专利代</w:t>
      </w:r>
      <w:r>
        <w:rPr>
          <w:lang w:eastAsia="zh-CN"/>
        </w:rPr>
        <w:t>理机构。</w:t>
      </w:r>
    </w:p>
    <w:p>
      <w:pPr>
        <w:pStyle w:val="5"/>
        <w:tabs>
          <w:tab w:val="left" w:pos="1912"/>
        </w:tabs>
        <w:spacing w:line="560" w:lineRule="exact"/>
        <w:ind w:left="0"/>
        <w:jc w:val="center"/>
        <w:rPr>
          <w:rFonts w:ascii="黑体" w:eastAsia="黑体"/>
          <w:lang w:eastAsia="zh-CN"/>
        </w:rPr>
      </w:pPr>
      <w:r>
        <w:rPr>
          <w:rFonts w:hint="eastAsia" w:ascii="黑体" w:eastAsia="黑体"/>
          <w:lang w:eastAsia="zh-CN"/>
        </w:rPr>
        <w:t>第二章</w:t>
      </w:r>
      <w:r>
        <w:rPr>
          <w:rFonts w:ascii="黑体" w:eastAsia="黑体"/>
          <w:lang w:eastAsia="zh-CN"/>
        </w:rPr>
        <w:t xml:space="preserve"> </w:t>
      </w:r>
      <w:r>
        <w:rPr>
          <w:rFonts w:hint="eastAsia" w:ascii="黑体" w:eastAsia="黑体"/>
          <w:lang w:eastAsia="zh-CN"/>
        </w:rPr>
        <w:t>专利预审的主体备案</w:t>
      </w:r>
    </w:p>
    <w:p>
      <w:pPr>
        <w:pStyle w:val="5"/>
        <w:spacing w:line="560" w:lineRule="exact"/>
        <w:ind w:left="0" w:firstLine="638"/>
        <w:jc w:val="both"/>
        <w:rPr>
          <w:lang w:eastAsia="zh-CN"/>
        </w:rPr>
      </w:pPr>
      <w:r>
        <w:rPr>
          <w:b/>
          <w:lang w:eastAsia="zh-CN"/>
        </w:rPr>
        <w:t xml:space="preserve">第七条 </w:t>
      </w:r>
      <w:r>
        <w:rPr>
          <w:rFonts w:hint="eastAsia" w:ascii="仿宋" w:eastAsia="仿宋"/>
          <w:lang w:eastAsia="zh-CN"/>
        </w:rPr>
        <w:t>嘉兴</w:t>
      </w:r>
      <w:r>
        <w:rPr>
          <w:lang w:eastAsia="zh-CN"/>
        </w:rPr>
        <w:t>保护中心对预审产业领域内创新实力强、专利</w:t>
      </w:r>
      <w:r>
        <w:rPr>
          <w:w w:val="95"/>
          <w:lang w:eastAsia="zh-CN"/>
        </w:rPr>
        <w:t>质量好、专利工作诚信度高的企事业单位依申请进行备案，建立</w:t>
      </w:r>
      <w:r>
        <w:rPr>
          <w:lang w:eastAsia="zh-CN"/>
        </w:rPr>
        <w:t>备案档案。</w:t>
      </w:r>
    </w:p>
    <w:p>
      <w:pPr>
        <w:spacing w:line="560" w:lineRule="exact"/>
        <w:ind w:firstLine="640" w:firstLineChars="200"/>
        <w:jc w:val="both"/>
        <w:rPr>
          <w:sz w:val="32"/>
          <w:highlight w:val="yellow"/>
          <w:lang w:eastAsia="zh-CN"/>
        </w:rPr>
      </w:pPr>
      <w:r>
        <w:rPr>
          <w:b/>
          <w:sz w:val="32"/>
          <w:highlight w:val="yellow"/>
          <w:lang w:eastAsia="zh-CN"/>
        </w:rPr>
        <w:t xml:space="preserve">第八条 </w:t>
      </w:r>
      <w:r>
        <w:rPr>
          <w:sz w:val="32"/>
          <w:highlight w:val="yellow"/>
          <w:lang w:eastAsia="zh-CN"/>
        </w:rPr>
        <w:t>备案主体的申请条件：</w:t>
      </w:r>
    </w:p>
    <w:p>
      <w:pPr>
        <w:pStyle w:val="5"/>
        <w:spacing w:line="560" w:lineRule="exact"/>
        <w:ind w:left="0" w:firstLine="638"/>
        <w:rPr>
          <w:lang w:eastAsia="zh-CN"/>
        </w:rPr>
      </w:pPr>
      <w:r>
        <w:rPr>
          <w:w w:val="95"/>
          <w:highlight w:val="yellow"/>
          <w:lang w:eastAsia="zh-CN"/>
        </w:rPr>
        <w:t>（一）登记注册地在</w:t>
      </w:r>
      <w:r>
        <w:rPr>
          <w:rFonts w:hint="eastAsia" w:ascii="仿宋" w:eastAsia="仿宋"/>
          <w:w w:val="95"/>
          <w:highlight w:val="yellow"/>
          <w:lang w:eastAsia="zh-CN"/>
        </w:rPr>
        <w:t>嘉兴市</w:t>
      </w:r>
      <w:r>
        <w:rPr>
          <w:w w:val="95"/>
          <w:highlight w:val="yellow"/>
          <w:lang w:eastAsia="zh-CN"/>
        </w:rPr>
        <w:t>行政区域的企</w:t>
      </w:r>
      <w:r>
        <w:rPr>
          <w:highlight w:val="yellow"/>
          <w:lang w:eastAsia="zh-CN"/>
        </w:rPr>
        <w:t>事业单位；</w:t>
      </w:r>
    </w:p>
    <w:p>
      <w:pPr>
        <w:pStyle w:val="5"/>
        <w:spacing w:line="560" w:lineRule="exact"/>
        <w:ind w:left="0" w:firstLine="638"/>
        <w:rPr>
          <w:lang w:eastAsia="zh-CN"/>
        </w:rPr>
      </w:pPr>
      <w:r>
        <w:rPr>
          <w:lang w:eastAsia="zh-CN"/>
        </w:rPr>
        <w:t>（二）生产、研发或经营范围属于高端装备制造产业领域,且具有自主研发能力；</w:t>
      </w:r>
    </w:p>
    <w:p>
      <w:pPr>
        <w:pStyle w:val="5"/>
        <w:spacing w:line="560" w:lineRule="exact"/>
        <w:ind w:left="0" w:firstLine="638"/>
        <w:rPr>
          <w:lang w:eastAsia="zh-CN"/>
        </w:rPr>
      </w:pPr>
      <w:r>
        <w:rPr>
          <w:highlight w:val="yellow"/>
          <w:lang w:eastAsia="zh-CN"/>
        </w:rPr>
        <w:t>（三）具有良好的知识产权工作基础，</w:t>
      </w:r>
      <w:r>
        <w:rPr>
          <w:rFonts w:hint="eastAsia" w:hAnsi="微软雅黑" w:cs="宋体"/>
          <w:color w:val="404040"/>
          <w:highlight w:val="yellow"/>
          <w:lang w:eastAsia="zh-CN"/>
        </w:rPr>
        <w:t>至少拥有一件由备案主体作为第一申请人申请并已获得授权的专利</w:t>
      </w:r>
      <w:r>
        <w:rPr>
          <w:highlight w:val="yellow"/>
          <w:lang w:eastAsia="zh-CN"/>
        </w:rPr>
        <w:t>；</w:t>
      </w:r>
    </w:p>
    <w:p>
      <w:pPr>
        <w:pStyle w:val="5"/>
        <w:spacing w:line="560" w:lineRule="exact"/>
        <w:ind w:left="0" w:firstLine="641"/>
        <w:jc w:val="both"/>
        <w:rPr>
          <w:rFonts w:hint="eastAsia" w:hAnsi="宋体" w:cs="宋体"/>
          <w:color w:val="000000"/>
          <w:lang w:eastAsia="zh-CN"/>
        </w:rPr>
      </w:pPr>
      <w:r>
        <w:rPr>
          <w:lang w:eastAsia="zh-CN"/>
        </w:rPr>
        <w:t>（四）</w:t>
      </w:r>
      <w:r>
        <w:rPr>
          <w:rFonts w:hint="eastAsia" w:hAnsi="宋体" w:cs="宋体"/>
          <w:color w:val="000000"/>
          <w:lang w:eastAsia="zh-CN"/>
        </w:rPr>
        <w:t>前三年内无专利不诚信行为。</w:t>
      </w:r>
    </w:p>
    <w:p>
      <w:pPr>
        <w:pStyle w:val="5"/>
        <w:spacing w:line="560" w:lineRule="exact"/>
        <w:ind w:left="0" w:firstLine="641"/>
        <w:jc w:val="both"/>
        <w:rPr>
          <w:w w:val="95"/>
          <w:lang w:eastAsia="zh-CN"/>
        </w:rPr>
      </w:pPr>
      <w:r>
        <w:rPr>
          <w:b/>
          <w:lang w:eastAsia="zh-CN"/>
        </w:rPr>
        <w:t>第九条</w:t>
      </w:r>
      <w:r>
        <w:rPr>
          <w:w w:val="95"/>
          <w:lang w:eastAsia="zh-CN"/>
        </w:rPr>
        <w:t xml:space="preserve"> 申请成为备案主体的企事业单位，应在</w:t>
      </w:r>
      <w:r>
        <w:rPr>
          <w:rFonts w:hint="eastAsia"/>
          <w:w w:val="95"/>
          <w:lang w:eastAsia="zh-CN"/>
        </w:rPr>
        <w:t>嘉兴</w:t>
      </w:r>
      <w:r>
        <w:rPr>
          <w:w w:val="95"/>
          <w:lang w:eastAsia="zh-CN"/>
        </w:rPr>
        <w:t>保护中心信息平台提出备案申请，提交以下材料：</w:t>
      </w:r>
    </w:p>
    <w:p>
      <w:pPr>
        <w:pStyle w:val="5"/>
        <w:spacing w:line="560" w:lineRule="exact"/>
        <w:ind w:left="0" w:firstLine="641"/>
        <w:jc w:val="both"/>
        <w:rPr>
          <w:w w:val="95"/>
          <w:lang w:eastAsia="zh-CN"/>
        </w:rPr>
      </w:pPr>
      <w:r>
        <w:rPr>
          <w:w w:val="95"/>
          <w:lang w:eastAsia="zh-CN"/>
        </w:rPr>
        <w:t>（一）企事业单位专利预审备案申请表；</w:t>
      </w:r>
    </w:p>
    <w:p>
      <w:pPr>
        <w:pStyle w:val="5"/>
        <w:spacing w:line="560" w:lineRule="exact"/>
        <w:ind w:left="0" w:firstLine="641"/>
        <w:jc w:val="both"/>
        <w:rPr>
          <w:w w:val="95"/>
          <w:lang w:eastAsia="zh-CN"/>
        </w:rPr>
      </w:pPr>
      <w:r>
        <w:rPr>
          <w:w w:val="95"/>
          <w:lang w:eastAsia="zh-CN"/>
        </w:rPr>
        <w:t>（二）专利预审承诺书；</w:t>
      </w:r>
    </w:p>
    <w:p>
      <w:pPr>
        <w:pStyle w:val="5"/>
        <w:spacing w:line="560" w:lineRule="exact"/>
        <w:ind w:left="0" w:firstLine="641"/>
        <w:jc w:val="both"/>
        <w:rPr>
          <w:w w:val="95"/>
          <w:lang w:eastAsia="zh-CN"/>
        </w:rPr>
      </w:pPr>
      <w:r>
        <w:rPr>
          <w:w w:val="95"/>
          <w:lang w:eastAsia="zh-CN"/>
        </w:rPr>
        <w:t>（三）企业营业执照或事业单位法人证书复印件；</w:t>
      </w:r>
    </w:p>
    <w:p>
      <w:pPr>
        <w:pStyle w:val="5"/>
        <w:spacing w:line="560" w:lineRule="exact"/>
        <w:ind w:left="0" w:firstLine="641"/>
        <w:jc w:val="both"/>
        <w:rPr>
          <w:w w:val="95"/>
          <w:lang w:eastAsia="zh-CN"/>
        </w:rPr>
      </w:pPr>
      <w:r>
        <w:rPr>
          <w:w w:val="95"/>
          <w:lang w:eastAsia="zh-CN"/>
        </w:rPr>
        <w:t>（四）其他证明材料</w:t>
      </w:r>
      <w:r>
        <w:rPr>
          <w:rFonts w:hint="eastAsia"/>
          <w:w w:val="95"/>
          <w:lang w:eastAsia="zh-CN"/>
        </w:rPr>
        <w:t>。</w:t>
      </w:r>
    </w:p>
    <w:p>
      <w:pPr>
        <w:pStyle w:val="5"/>
        <w:spacing w:line="560" w:lineRule="exact"/>
        <w:ind w:left="0" w:firstLine="641"/>
        <w:jc w:val="both"/>
        <w:rPr>
          <w:w w:val="95"/>
          <w:lang w:eastAsia="zh-CN"/>
        </w:rPr>
      </w:pPr>
      <w:r>
        <w:rPr>
          <w:w w:val="95"/>
          <w:lang w:eastAsia="zh-CN"/>
        </w:rPr>
        <w:t>以上材料均需加盖公章。</w:t>
      </w:r>
    </w:p>
    <w:p>
      <w:pPr>
        <w:pStyle w:val="5"/>
        <w:spacing w:line="560" w:lineRule="exact"/>
        <w:ind w:left="0" w:firstLine="641"/>
        <w:jc w:val="both"/>
        <w:rPr>
          <w:sz w:val="24"/>
          <w:lang w:eastAsia="zh-CN"/>
        </w:rPr>
      </w:pPr>
      <w:r>
        <w:rPr>
          <w:b/>
          <w:lang w:eastAsia="zh-CN"/>
        </w:rPr>
        <w:t>第十条</w:t>
      </w:r>
      <w:r>
        <w:rPr>
          <w:w w:val="95"/>
          <w:lang w:eastAsia="zh-CN"/>
        </w:rPr>
        <w:t xml:space="preserve"> 申请成为备案主体的企事业单位应</w:t>
      </w:r>
      <w:r>
        <w:rPr>
          <w:lang w:eastAsia="zh-CN"/>
        </w:rPr>
        <w:t>在</w:t>
      </w:r>
      <w:r>
        <w:rPr>
          <w:rFonts w:hint="eastAsia" w:ascii="仿宋" w:eastAsia="仿宋"/>
          <w:lang w:eastAsia="zh-CN"/>
        </w:rPr>
        <w:t>嘉兴</w:t>
      </w:r>
      <w:r>
        <w:rPr>
          <w:lang w:eastAsia="zh-CN"/>
        </w:rPr>
        <w:t>保护中心信息平台上提交备案申请材料。</w:t>
      </w:r>
      <w:r>
        <w:rPr>
          <w:rFonts w:hint="eastAsia" w:ascii="仿宋" w:eastAsia="仿宋"/>
          <w:lang w:eastAsia="zh-CN"/>
        </w:rPr>
        <w:t>嘉兴</w:t>
      </w:r>
      <w:r>
        <w:rPr>
          <w:lang w:eastAsia="zh-CN"/>
        </w:rPr>
        <w:t>保护中心对材料进行初步审核，形成拟备案主体名录，上报国家知识产权局，经复核、确认后，备案完成</w:t>
      </w:r>
      <w:r>
        <w:rPr>
          <w:w w:val="95"/>
          <w:lang w:eastAsia="zh-CN"/>
        </w:rPr>
        <w:t>。备案完成后方可提</w:t>
      </w:r>
      <w:r>
        <w:rPr>
          <w:lang w:eastAsia="zh-CN"/>
        </w:rPr>
        <w:t>交专利申请预审请求，嘉兴保护中心定期在中心官网公布合格单位名单。</w:t>
      </w:r>
    </w:p>
    <w:p>
      <w:pPr>
        <w:pStyle w:val="5"/>
        <w:spacing w:line="560" w:lineRule="exact"/>
        <w:ind w:left="0" w:firstLine="641"/>
        <w:jc w:val="both"/>
        <w:rPr>
          <w:lang w:eastAsia="zh-CN"/>
        </w:rPr>
      </w:pPr>
      <w:r>
        <w:rPr>
          <w:b/>
          <w:lang w:eastAsia="zh-CN"/>
        </w:rPr>
        <w:t xml:space="preserve">第十一条 </w:t>
      </w:r>
      <w:r>
        <w:rPr>
          <w:lang w:eastAsia="zh-CN"/>
        </w:rPr>
        <w:t>备案主体应确保单位名称、统一社会信用代码、联系人、代理委托关系等信息的准确性。单位名称或统一社会信用代码发生变更的，应在办理专利申请预审相关业务前向</w:t>
      </w:r>
      <w:r>
        <w:rPr>
          <w:rFonts w:hint="eastAsia" w:ascii="仿宋" w:eastAsia="仿宋"/>
          <w:lang w:eastAsia="zh-CN"/>
        </w:rPr>
        <w:t>嘉兴</w:t>
      </w:r>
      <w:r>
        <w:rPr>
          <w:lang w:eastAsia="zh-CN"/>
        </w:rPr>
        <w:t>保护中心提交变更后的企事业单位专利预审备案申请表、登记管理机关出具的变更证明、变更后的企业营业执照或事业单位法人证书复印件等材料。其他信息发生变更的，备案主体应及时在</w:t>
      </w:r>
      <w:r>
        <w:rPr>
          <w:rFonts w:hint="eastAsia" w:ascii="仿宋" w:eastAsia="仿宋"/>
          <w:lang w:eastAsia="zh-CN"/>
        </w:rPr>
        <w:t>嘉兴</w:t>
      </w:r>
      <w:r>
        <w:rPr>
          <w:lang w:eastAsia="zh-CN"/>
        </w:rPr>
        <w:t>保护中心信息平台完成信息更新。</w:t>
      </w:r>
    </w:p>
    <w:p>
      <w:pPr>
        <w:pStyle w:val="5"/>
        <w:spacing w:line="560" w:lineRule="exact"/>
        <w:ind w:left="0"/>
        <w:jc w:val="center"/>
        <w:rPr>
          <w:rFonts w:ascii="黑体" w:eastAsia="黑体"/>
          <w:lang w:eastAsia="zh-CN"/>
        </w:rPr>
      </w:pPr>
      <w:r>
        <w:rPr>
          <w:rFonts w:hint="eastAsia" w:ascii="黑体" w:eastAsia="黑体"/>
          <w:lang w:eastAsia="zh-CN"/>
        </w:rPr>
        <w:t>第三章 专利预审的委托代理</w:t>
      </w:r>
    </w:p>
    <w:p>
      <w:pPr>
        <w:pStyle w:val="5"/>
        <w:spacing w:line="560" w:lineRule="exact"/>
        <w:ind w:left="0" w:firstLine="638"/>
        <w:rPr>
          <w:lang w:eastAsia="zh-CN"/>
        </w:rPr>
      </w:pPr>
      <w:r>
        <w:rPr>
          <w:b/>
          <w:lang w:eastAsia="zh-CN"/>
        </w:rPr>
        <w:t xml:space="preserve">第十二条 </w:t>
      </w:r>
      <w:r>
        <w:rPr>
          <w:lang w:eastAsia="zh-CN"/>
        </w:rPr>
        <w:t>代为办理专利申请预审相关业务的代理机构，应在</w:t>
      </w:r>
      <w:r>
        <w:rPr>
          <w:rFonts w:hint="eastAsia" w:ascii="仿宋" w:eastAsia="仿宋"/>
          <w:lang w:eastAsia="zh-CN"/>
        </w:rPr>
        <w:t>嘉兴</w:t>
      </w:r>
      <w:r>
        <w:rPr>
          <w:lang w:eastAsia="zh-CN"/>
        </w:rPr>
        <w:t>保护中心信息平台上提交登记材料，经</w:t>
      </w:r>
      <w:r>
        <w:rPr>
          <w:rFonts w:hint="eastAsia" w:ascii="仿宋" w:eastAsia="仿宋"/>
          <w:lang w:eastAsia="zh-CN"/>
        </w:rPr>
        <w:t>嘉兴</w:t>
      </w:r>
      <w:r>
        <w:rPr>
          <w:lang w:eastAsia="zh-CN"/>
        </w:rPr>
        <w:t>保护中心审核合格的，予以登记。</w:t>
      </w:r>
    </w:p>
    <w:p>
      <w:pPr>
        <w:spacing w:line="560" w:lineRule="exact"/>
        <w:ind w:firstLine="640" w:firstLineChars="200"/>
        <w:rPr>
          <w:sz w:val="32"/>
          <w:lang w:eastAsia="zh-CN"/>
        </w:rPr>
      </w:pPr>
      <w:r>
        <w:rPr>
          <w:b/>
          <w:sz w:val="32"/>
          <w:lang w:eastAsia="zh-CN"/>
        </w:rPr>
        <w:t xml:space="preserve">第十三条 </w:t>
      </w:r>
      <w:r>
        <w:rPr>
          <w:sz w:val="32"/>
          <w:lang w:eastAsia="zh-CN"/>
        </w:rPr>
        <w:t>代理机构的登记条件：</w:t>
      </w:r>
    </w:p>
    <w:p>
      <w:pPr>
        <w:pStyle w:val="5"/>
        <w:spacing w:line="560" w:lineRule="exact"/>
        <w:ind w:left="0" w:firstLine="638"/>
        <w:rPr>
          <w:lang w:eastAsia="zh-CN"/>
        </w:rPr>
      </w:pPr>
      <w:r>
        <w:rPr>
          <w:lang w:eastAsia="zh-CN"/>
        </w:rPr>
        <w:t>（一）经国家知识产权局审批设立，并在国家知识产权局“专</w:t>
      </w:r>
      <w:r>
        <w:rPr>
          <w:w w:val="99"/>
          <w:lang w:eastAsia="zh-CN"/>
        </w:rPr>
        <w:t>利代理管理系统”中的机构状态显示为“正常”；</w:t>
      </w:r>
    </w:p>
    <w:p>
      <w:pPr>
        <w:ind w:firstLine="640" w:firstLineChars="200"/>
        <w:rPr>
          <w:rFonts w:hint="eastAsia"/>
          <w:sz w:val="32"/>
          <w:szCs w:val="32"/>
          <w:lang w:eastAsia="zh-CN"/>
        </w:rPr>
      </w:pPr>
      <w:r>
        <w:rPr>
          <w:sz w:val="32"/>
          <w:szCs w:val="32"/>
          <w:lang w:eastAsia="zh-CN"/>
        </w:rPr>
        <w:t>（二）</w:t>
      </w:r>
      <w:r>
        <w:rPr>
          <w:rFonts w:hint="eastAsia"/>
          <w:sz w:val="32"/>
          <w:szCs w:val="32"/>
          <w:lang w:eastAsia="zh-CN"/>
        </w:rPr>
        <w:t>近一年内</w:t>
      </w:r>
      <w:r>
        <w:rPr>
          <w:sz w:val="32"/>
          <w:szCs w:val="32"/>
          <w:lang w:eastAsia="zh-CN"/>
        </w:rPr>
        <w:t>未发生因违反《专利代理条例》、</w:t>
      </w:r>
      <w:r>
        <w:rPr>
          <w:rFonts w:hint="eastAsia"/>
          <w:sz w:val="32"/>
          <w:szCs w:val="32"/>
          <w:lang w:eastAsia="zh-CN"/>
        </w:rPr>
        <w:t>《浙江省专利代理行业信用管理办法（试行）》</w:t>
      </w:r>
      <w:r>
        <w:rPr>
          <w:sz w:val="32"/>
          <w:szCs w:val="32"/>
          <w:lang w:eastAsia="zh-CN"/>
        </w:rPr>
        <w:t>有关规定受到各级专利行政管理部门处理的；</w:t>
      </w:r>
    </w:p>
    <w:p>
      <w:pPr>
        <w:ind w:firstLine="640" w:firstLineChars="200"/>
        <w:rPr>
          <w:sz w:val="32"/>
          <w:szCs w:val="32"/>
          <w:lang w:eastAsia="zh-CN"/>
        </w:rPr>
      </w:pPr>
      <w:r>
        <w:rPr>
          <w:sz w:val="32"/>
          <w:szCs w:val="32"/>
          <w:lang w:eastAsia="zh-CN"/>
        </w:rPr>
        <w:t>（三）</w:t>
      </w:r>
      <w:r>
        <w:rPr>
          <w:rFonts w:hint="eastAsia"/>
          <w:sz w:val="32"/>
          <w:szCs w:val="32"/>
          <w:lang w:eastAsia="zh-CN"/>
        </w:rPr>
        <w:t>如有过代理非正常专利申请的，须经知识产权管理部门要求撤回有关非正常申请后方可登记。</w:t>
      </w:r>
    </w:p>
    <w:p>
      <w:pPr>
        <w:pStyle w:val="5"/>
        <w:spacing w:line="560" w:lineRule="exact"/>
        <w:ind w:left="0" w:firstLine="640" w:firstLineChars="200"/>
        <w:rPr>
          <w:lang w:eastAsia="zh-CN"/>
        </w:rPr>
      </w:pPr>
      <w:r>
        <w:rPr>
          <w:b/>
          <w:lang w:eastAsia="zh-CN"/>
        </w:rPr>
        <w:t xml:space="preserve">第十四条 </w:t>
      </w:r>
      <w:r>
        <w:rPr>
          <w:lang w:eastAsia="zh-CN"/>
        </w:rPr>
        <w:t>代理机构登记，需提交以下材料：</w:t>
      </w:r>
    </w:p>
    <w:p>
      <w:pPr>
        <w:pStyle w:val="5"/>
        <w:spacing w:line="560" w:lineRule="exact"/>
        <w:ind w:left="0" w:firstLine="640" w:firstLineChars="200"/>
        <w:rPr>
          <w:lang w:eastAsia="zh-CN"/>
        </w:rPr>
      </w:pPr>
      <w:r>
        <w:rPr>
          <w:lang w:eastAsia="zh-CN"/>
        </w:rPr>
        <w:t>（一）专利代理机构登记表；</w:t>
      </w:r>
    </w:p>
    <w:p>
      <w:pPr>
        <w:pStyle w:val="5"/>
        <w:spacing w:line="560" w:lineRule="exact"/>
        <w:ind w:left="0" w:firstLine="608" w:firstLineChars="200"/>
        <w:rPr>
          <w:lang w:eastAsia="zh-CN"/>
        </w:rPr>
      </w:pPr>
      <w:r>
        <w:rPr>
          <w:rFonts w:hint="eastAsia"/>
          <w:w w:val="95"/>
          <w:lang w:eastAsia="zh-CN"/>
        </w:rPr>
        <w:t>（二）</w:t>
      </w:r>
      <w:r>
        <w:rPr>
          <w:w w:val="95"/>
          <w:lang w:eastAsia="zh-CN"/>
        </w:rPr>
        <w:t>专利预审承诺书；</w:t>
      </w:r>
    </w:p>
    <w:p>
      <w:pPr>
        <w:pStyle w:val="5"/>
        <w:spacing w:line="560" w:lineRule="exact"/>
        <w:ind w:left="0" w:firstLine="640" w:firstLineChars="200"/>
        <w:rPr>
          <w:lang w:eastAsia="zh-CN"/>
        </w:rPr>
      </w:pPr>
      <w:r>
        <w:rPr>
          <w:lang w:eastAsia="zh-CN"/>
        </w:rPr>
        <w:t>（三）专利代理机构执业许可证复印件。</w:t>
      </w:r>
    </w:p>
    <w:p>
      <w:pPr>
        <w:pStyle w:val="5"/>
        <w:spacing w:line="560" w:lineRule="exact"/>
        <w:ind w:left="0" w:firstLine="640" w:firstLineChars="200"/>
        <w:rPr>
          <w:lang w:eastAsia="zh-CN"/>
        </w:rPr>
      </w:pPr>
      <w:r>
        <w:rPr>
          <w:lang w:eastAsia="zh-CN"/>
        </w:rPr>
        <w:t>以上材料均需加盖公章。</w:t>
      </w:r>
    </w:p>
    <w:p>
      <w:pPr>
        <w:pStyle w:val="5"/>
        <w:spacing w:line="560" w:lineRule="exact"/>
        <w:ind w:left="0" w:firstLine="641"/>
        <w:jc w:val="both"/>
        <w:rPr>
          <w:lang w:eastAsia="zh-CN"/>
        </w:rPr>
      </w:pPr>
      <w:r>
        <w:rPr>
          <w:b/>
          <w:lang w:eastAsia="zh-CN"/>
        </w:rPr>
        <w:t xml:space="preserve">第十五条 </w:t>
      </w:r>
      <w:r>
        <w:rPr>
          <w:lang w:eastAsia="zh-CN"/>
        </w:rPr>
        <w:t>代理机构应确保单位名称、统一社会信用代码、</w:t>
      </w:r>
      <w:r>
        <w:rPr>
          <w:w w:val="95"/>
          <w:lang w:eastAsia="zh-CN"/>
        </w:rPr>
        <w:t>联系人等信息的准确性。相关信息发生变更的，参照本办法第十</w:t>
      </w:r>
      <w:r>
        <w:rPr>
          <w:lang w:eastAsia="zh-CN"/>
        </w:rPr>
        <w:t>一条执行。</w:t>
      </w:r>
    </w:p>
    <w:p>
      <w:pPr>
        <w:pStyle w:val="5"/>
        <w:spacing w:line="560" w:lineRule="exact"/>
        <w:ind w:left="0"/>
        <w:jc w:val="center"/>
        <w:rPr>
          <w:rFonts w:ascii="黑体" w:eastAsia="黑体"/>
          <w:lang w:eastAsia="zh-CN"/>
        </w:rPr>
      </w:pPr>
      <w:r>
        <w:rPr>
          <w:rFonts w:hint="eastAsia" w:ascii="黑体" w:eastAsia="黑体"/>
          <w:lang w:eastAsia="zh-CN"/>
        </w:rPr>
        <w:t>第四章 专利预审的规范化管理</w:t>
      </w:r>
    </w:p>
    <w:p>
      <w:pPr>
        <w:pStyle w:val="5"/>
        <w:spacing w:line="560" w:lineRule="exact"/>
        <w:ind w:left="0" w:firstLine="640" w:firstLineChars="200"/>
        <w:rPr>
          <w:lang w:eastAsia="zh-CN"/>
        </w:rPr>
      </w:pPr>
      <w:r>
        <w:rPr>
          <w:b/>
          <w:lang w:eastAsia="zh-CN"/>
        </w:rPr>
        <w:t xml:space="preserve">第十六条 </w:t>
      </w:r>
      <w:r>
        <w:rPr>
          <w:rFonts w:hint="eastAsia" w:ascii="仿宋" w:eastAsia="仿宋"/>
          <w:lang w:eastAsia="zh-CN"/>
        </w:rPr>
        <w:t>嘉兴</w:t>
      </w:r>
      <w:r>
        <w:rPr>
          <w:lang w:eastAsia="zh-CN"/>
        </w:rPr>
        <w:t>保护中心对备案主体预审请求量实施额度管理。</w:t>
      </w:r>
    </w:p>
    <w:p>
      <w:pPr>
        <w:pStyle w:val="5"/>
        <w:spacing w:line="560" w:lineRule="exact"/>
        <w:ind w:left="0" w:firstLine="638"/>
        <w:jc w:val="both"/>
        <w:rPr>
          <w:lang w:eastAsia="zh-CN"/>
        </w:rPr>
      </w:pPr>
      <w:r>
        <w:rPr>
          <w:b/>
          <w:lang w:eastAsia="zh-CN"/>
        </w:rPr>
        <w:t xml:space="preserve">第十七条 </w:t>
      </w:r>
      <w:r>
        <w:rPr>
          <w:lang w:eastAsia="zh-CN"/>
        </w:rPr>
        <w:t>备案主体应建立专利申请内部遴选机制，聚焦技</w:t>
      </w:r>
      <w:r>
        <w:rPr>
          <w:w w:val="95"/>
          <w:lang w:eastAsia="zh-CN"/>
        </w:rPr>
        <w:t>术更新速度快的领域发明创造，择优筛选高质量专利申请提交预</w:t>
      </w:r>
      <w:r>
        <w:rPr>
          <w:lang w:eastAsia="zh-CN"/>
        </w:rPr>
        <w:t>审请求。</w:t>
      </w:r>
    </w:p>
    <w:p>
      <w:pPr>
        <w:pStyle w:val="5"/>
        <w:spacing w:line="560" w:lineRule="exact"/>
        <w:ind w:left="0" w:firstLine="626"/>
        <w:jc w:val="both"/>
        <w:rPr>
          <w:lang w:eastAsia="zh-CN"/>
        </w:rPr>
      </w:pPr>
      <w:r>
        <w:rPr>
          <w:b/>
          <w:lang w:eastAsia="zh-CN"/>
        </w:rPr>
        <w:t xml:space="preserve">第十八条 </w:t>
      </w:r>
      <w:r>
        <w:rPr>
          <w:rFonts w:hint="eastAsia" w:ascii="仿宋" w:eastAsia="仿宋"/>
          <w:lang w:eastAsia="zh-CN"/>
        </w:rPr>
        <w:t>嘉兴</w:t>
      </w:r>
      <w:r>
        <w:rPr>
          <w:lang w:eastAsia="zh-CN"/>
        </w:rPr>
        <w:t>保护中心按照国家知识产权局关于规范专利</w:t>
      </w:r>
      <w:r>
        <w:rPr>
          <w:w w:val="95"/>
          <w:lang w:eastAsia="zh-CN"/>
        </w:rPr>
        <w:t>申请行为的相关要求，排除不以保护创新为目的的预审请求，并</w:t>
      </w:r>
      <w:r>
        <w:rPr>
          <w:lang w:eastAsia="zh-CN"/>
        </w:rPr>
        <w:t>将线索上报国家知识产权局。</w:t>
      </w:r>
    </w:p>
    <w:p>
      <w:pPr>
        <w:pStyle w:val="5"/>
        <w:spacing w:line="560" w:lineRule="exact"/>
        <w:ind w:left="0" w:firstLine="638"/>
        <w:jc w:val="both"/>
        <w:rPr>
          <w:lang w:eastAsia="zh-CN"/>
        </w:rPr>
      </w:pPr>
      <w:r>
        <w:rPr>
          <w:b/>
          <w:lang w:eastAsia="zh-CN"/>
        </w:rPr>
        <w:t xml:space="preserve">第十九条 </w:t>
      </w:r>
      <w:r>
        <w:rPr>
          <w:rFonts w:hint="eastAsia" w:ascii="仿宋" w:eastAsia="仿宋"/>
          <w:lang w:eastAsia="zh-CN"/>
        </w:rPr>
        <w:t>嘉兴</w:t>
      </w:r>
      <w:r>
        <w:rPr>
          <w:lang w:eastAsia="zh-CN"/>
        </w:rPr>
        <w:t>保护中心建立备案信息动态更新机制，实施备案信息档案管理和备案名单动态管理，开展信息复核。备案主体自备案通过之日起两年内未向</w:t>
      </w:r>
      <w:r>
        <w:rPr>
          <w:rFonts w:hint="eastAsia" w:ascii="仿宋" w:eastAsia="仿宋"/>
          <w:lang w:eastAsia="zh-CN"/>
        </w:rPr>
        <w:t>嘉兴</w:t>
      </w:r>
      <w:r>
        <w:rPr>
          <w:lang w:eastAsia="zh-CN"/>
        </w:rPr>
        <w:t>保护中心提交专利申请预审请求的，以及未按要求完成信息复核的，视为放弃备案主体资格。</w:t>
      </w:r>
      <w:r>
        <w:rPr>
          <w:rFonts w:hint="eastAsia" w:ascii="仿宋" w:eastAsia="仿宋"/>
          <w:lang w:eastAsia="zh-CN"/>
        </w:rPr>
        <w:t>嘉兴</w:t>
      </w:r>
      <w:r>
        <w:rPr>
          <w:lang w:eastAsia="zh-CN"/>
        </w:rPr>
        <w:t>保护中心将放弃备案主体资格、已注销或注册地转移至</w:t>
      </w:r>
      <w:r>
        <w:rPr>
          <w:rFonts w:hint="eastAsia" w:ascii="仿宋" w:eastAsia="仿宋"/>
          <w:lang w:eastAsia="zh-CN"/>
        </w:rPr>
        <w:t>市</w:t>
      </w:r>
      <w:r>
        <w:rPr>
          <w:lang w:eastAsia="zh-CN"/>
        </w:rPr>
        <w:t>外的备案主体信息报国家知识产权局审核后删除。删除备案信息的企事业单位如有专利申请预审需求，可重新提交备案申请。</w:t>
      </w:r>
    </w:p>
    <w:p>
      <w:pPr>
        <w:pStyle w:val="5"/>
        <w:spacing w:line="560" w:lineRule="exact"/>
        <w:ind w:left="0" w:firstLine="638"/>
        <w:jc w:val="both"/>
        <w:rPr>
          <w:lang w:eastAsia="zh-CN"/>
        </w:rPr>
      </w:pPr>
      <w:r>
        <w:rPr>
          <w:b/>
          <w:lang w:eastAsia="zh-CN"/>
        </w:rPr>
        <w:t xml:space="preserve">第二十条 </w:t>
      </w:r>
      <w:r>
        <w:rPr>
          <w:rFonts w:hint="eastAsia" w:ascii="仿宋" w:eastAsia="仿宋"/>
          <w:lang w:eastAsia="zh-CN"/>
        </w:rPr>
        <w:t>嘉兴</w:t>
      </w:r>
      <w:r>
        <w:rPr>
          <w:lang w:eastAsia="zh-CN"/>
        </w:rPr>
        <w:t>保护中心对备案主体和代理机构采取提醒、暂停预审服务、取消备案主体资格或预审服务资格等方式维护专利预审工作秩序。</w:t>
      </w:r>
    </w:p>
    <w:p>
      <w:pPr>
        <w:pStyle w:val="5"/>
        <w:spacing w:line="560" w:lineRule="exact"/>
        <w:ind w:left="0" w:firstLine="638"/>
        <w:jc w:val="both"/>
        <w:rPr>
          <w:lang w:eastAsia="zh-CN"/>
        </w:rPr>
      </w:pPr>
      <w:r>
        <w:rPr>
          <w:b/>
          <w:lang w:eastAsia="zh-CN"/>
        </w:rPr>
        <w:t xml:space="preserve">第二十一条 </w:t>
      </w:r>
      <w:r>
        <w:rPr>
          <w:lang w:eastAsia="zh-CN"/>
        </w:rPr>
        <w:t>备案主体存在以下情形之一的，予以提醒：</w:t>
      </w:r>
    </w:p>
    <w:p>
      <w:pPr>
        <w:pStyle w:val="5"/>
        <w:spacing w:line="560" w:lineRule="exact"/>
        <w:ind w:left="0" w:firstLine="638"/>
        <w:jc w:val="both"/>
        <w:rPr>
          <w:lang w:eastAsia="zh-CN"/>
        </w:rPr>
      </w:pPr>
      <w:r>
        <w:rPr>
          <w:lang w:eastAsia="zh-CN"/>
        </w:rPr>
        <w:t>（一）提交的专利申请预审请求撰写质量低、形式问题过多的；</w:t>
      </w:r>
    </w:p>
    <w:p>
      <w:pPr>
        <w:pStyle w:val="5"/>
        <w:spacing w:line="560" w:lineRule="exact"/>
        <w:ind w:left="0" w:firstLine="641"/>
        <w:jc w:val="both"/>
        <w:rPr>
          <w:lang w:eastAsia="zh-CN"/>
        </w:rPr>
      </w:pPr>
      <w:r>
        <w:rPr>
          <w:lang w:eastAsia="zh-CN"/>
        </w:rPr>
        <w:t>（二）提交的专利申请预审请求不以保护创新为目的的；</w:t>
      </w:r>
    </w:p>
    <w:p>
      <w:pPr>
        <w:pStyle w:val="5"/>
        <w:spacing w:line="560" w:lineRule="exact"/>
        <w:ind w:left="0" w:firstLine="641"/>
        <w:rPr>
          <w:lang w:eastAsia="zh-CN"/>
        </w:rPr>
      </w:pPr>
      <w:r>
        <w:rPr>
          <w:lang w:eastAsia="zh-CN"/>
        </w:rPr>
        <w:t>（三）经预审通过后在国家知识产权局专利快速审查阶段，因申请人名称、统一社会信用代码、发明人姓名、发明人身份证号、专利代理总委托书编号、专利代理机构代码、专利代理人执业证号等信息填写错误，导致初审阶段发出补正通知书的；</w:t>
      </w:r>
    </w:p>
    <w:p>
      <w:pPr>
        <w:pStyle w:val="5"/>
        <w:spacing w:line="560" w:lineRule="exact"/>
        <w:ind w:left="0" w:firstLine="638"/>
        <w:rPr>
          <w:lang w:eastAsia="zh-CN"/>
        </w:rPr>
      </w:pPr>
      <w:r>
        <w:rPr>
          <w:lang w:eastAsia="zh-CN"/>
        </w:rPr>
        <w:t>（四）经预审通过后在专利申请办理授权登记前进行申请人名称、统一社会信用代码等主要著录项目变更的；</w:t>
      </w:r>
    </w:p>
    <w:p>
      <w:pPr>
        <w:pStyle w:val="5"/>
        <w:spacing w:line="560" w:lineRule="exact"/>
        <w:ind w:left="0" w:firstLine="638"/>
        <w:rPr>
          <w:lang w:eastAsia="zh-CN"/>
        </w:rPr>
      </w:pPr>
      <w:r>
        <w:rPr>
          <w:lang w:eastAsia="zh-CN"/>
        </w:rPr>
        <w:t>（五）经预审通过后授权的专利，自授权公告日起两年内失效的；</w:t>
      </w:r>
    </w:p>
    <w:p>
      <w:pPr>
        <w:pStyle w:val="5"/>
        <w:spacing w:line="560" w:lineRule="exact"/>
        <w:ind w:left="0" w:firstLine="638"/>
        <w:rPr>
          <w:lang w:eastAsia="zh-CN"/>
        </w:rPr>
      </w:pPr>
      <w:r>
        <w:rPr>
          <w:lang w:eastAsia="zh-CN"/>
        </w:rPr>
        <w:t>（六）在国家知识产权局专利快速审查阶段导致专利快速审查标记被取消的其他不规范行为的。</w:t>
      </w:r>
    </w:p>
    <w:p>
      <w:pPr>
        <w:pStyle w:val="5"/>
        <w:spacing w:line="560" w:lineRule="exact"/>
        <w:ind w:left="0" w:firstLine="638"/>
        <w:rPr>
          <w:lang w:eastAsia="zh-CN"/>
        </w:rPr>
      </w:pPr>
      <w:r>
        <w:rPr>
          <w:b/>
          <w:lang w:eastAsia="zh-CN"/>
        </w:rPr>
        <w:t xml:space="preserve">第二十二条 </w:t>
      </w:r>
      <w:r>
        <w:rPr>
          <w:lang w:eastAsia="zh-CN"/>
        </w:rPr>
        <w:t>备案主体存在以下情形之一的，暂停专利申请预审服务半年以上：</w:t>
      </w:r>
    </w:p>
    <w:p>
      <w:pPr>
        <w:pStyle w:val="5"/>
        <w:spacing w:line="560" w:lineRule="exact"/>
        <w:ind w:left="0" w:firstLine="638"/>
        <w:rPr>
          <w:lang w:eastAsia="zh-CN"/>
        </w:rPr>
      </w:pPr>
      <w:r>
        <w:rPr>
          <w:lang w:eastAsia="zh-CN"/>
        </w:rPr>
        <w:t>（一）已进行一次提醒，仍违反本办法第二十一条规定的相关情形的；</w:t>
      </w:r>
    </w:p>
    <w:p>
      <w:pPr>
        <w:pStyle w:val="5"/>
        <w:spacing w:line="560" w:lineRule="exact"/>
        <w:ind w:left="0" w:firstLine="640" w:firstLineChars="200"/>
        <w:rPr>
          <w:lang w:eastAsia="zh-CN"/>
        </w:rPr>
      </w:pPr>
      <w:r>
        <w:rPr>
          <w:lang w:eastAsia="zh-CN"/>
        </w:rPr>
        <w:t>（二）一年内专利申请预审不合格比例超过50%的；</w:t>
      </w:r>
    </w:p>
    <w:p>
      <w:pPr>
        <w:pStyle w:val="5"/>
        <w:spacing w:line="560" w:lineRule="exact"/>
        <w:ind w:left="0" w:firstLine="638"/>
        <w:rPr>
          <w:lang w:eastAsia="zh-CN"/>
        </w:rPr>
      </w:pPr>
      <w:r>
        <w:rPr>
          <w:lang w:eastAsia="zh-CN"/>
        </w:rPr>
        <w:t>（三）一年内有被国家知识产权局认定为非正常专利申请且申诉未通过的；</w:t>
      </w:r>
    </w:p>
    <w:p>
      <w:pPr>
        <w:pStyle w:val="5"/>
        <w:spacing w:line="560" w:lineRule="exact"/>
        <w:ind w:left="0" w:firstLine="640" w:firstLineChars="200"/>
        <w:rPr>
          <w:lang w:eastAsia="zh-CN"/>
        </w:rPr>
      </w:pPr>
      <w:r>
        <w:rPr>
          <w:lang w:eastAsia="zh-CN"/>
        </w:rPr>
        <w:t>（四）被国家知识产权局认定存在失信行为；</w:t>
      </w:r>
    </w:p>
    <w:p>
      <w:pPr>
        <w:pStyle w:val="5"/>
        <w:spacing w:line="560" w:lineRule="exact"/>
        <w:ind w:left="0" w:firstLine="640" w:firstLineChars="200"/>
        <w:rPr>
          <w:lang w:eastAsia="zh-CN"/>
        </w:rPr>
      </w:pPr>
      <w:r>
        <w:rPr>
          <w:lang w:eastAsia="zh-CN"/>
        </w:rPr>
        <w:t>（五）其他扰乱专利申请预审工作秩序的。</w:t>
      </w:r>
    </w:p>
    <w:p>
      <w:pPr>
        <w:pStyle w:val="5"/>
        <w:spacing w:line="560" w:lineRule="exact"/>
        <w:ind w:left="0" w:firstLine="640" w:firstLineChars="200"/>
        <w:rPr>
          <w:lang w:eastAsia="zh-CN"/>
        </w:rPr>
      </w:pPr>
      <w:r>
        <w:rPr>
          <w:lang w:eastAsia="zh-CN"/>
        </w:rPr>
        <w:t>暂停期满后，备案主体可书面申请恢复专利申请预审服务。</w:t>
      </w:r>
    </w:p>
    <w:p>
      <w:pPr>
        <w:pStyle w:val="5"/>
        <w:spacing w:line="560" w:lineRule="exact"/>
        <w:ind w:left="0" w:firstLine="640" w:firstLineChars="200"/>
        <w:rPr>
          <w:lang w:eastAsia="zh-CN"/>
        </w:rPr>
      </w:pPr>
      <w:r>
        <w:rPr>
          <w:b/>
          <w:lang w:eastAsia="zh-CN"/>
        </w:rPr>
        <w:t xml:space="preserve">第二十三条 </w:t>
      </w:r>
      <w:r>
        <w:rPr>
          <w:lang w:eastAsia="zh-CN"/>
        </w:rPr>
        <w:t>代理机构存在以下情形之一的，暂停专利申请预审服务半年以上：</w:t>
      </w:r>
    </w:p>
    <w:p>
      <w:pPr>
        <w:pStyle w:val="5"/>
        <w:spacing w:line="560" w:lineRule="exact"/>
        <w:ind w:left="0" w:firstLine="638"/>
        <w:rPr>
          <w:lang w:eastAsia="zh-CN"/>
        </w:rPr>
      </w:pPr>
      <w:r>
        <w:rPr>
          <w:w w:val="95"/>
          <w:lang w:eastAsia="zh-CN"/>
        </w:rPr>
        <w:t>（一）在国家知识产权局“专利代理管理系统”中的机构状</w:t>
      </w:r>
      <w:r>
        <w:rPr>
          <w:w w:val="99"/>
          <w:lang w:eastAsia="zh-CN"/>
        </w:rPr>
        <w:t>态显示为“责令停业”、“列入经营异常名录”的；</w:t>
      </w:r>
    </w:p>
    <w:p>
      <w:pPr>
        <w:pStyle w:val="5"/>
        <w:spacing w:line="560" w:lineRule="exact"/>
        <w:ind w:left="0" w:firstLine="640" w:firstLineChars="200"/>
        <w:rPr>
          <w:lang w:eastAsia="zh-CN"/>
        </w:rPr>
      </w:pPr>
      <w:r>
        <w:rPr>
          <w:lang w:eastAsia="zh-CN"/>
        </w:rPr>
        <w:t>（二）因违反《专利代理条例》受到行政处罚，且行政处罚结果在公示期的；</w:t>
      </w:r>
    </w:p>
    <w:p>
      <w:pPr>
        <w:pStyle w:val="5"/>
        <w:spacing w:line="560" w:lineRule="exact"/>
        <w:ind w:left="0" w:firstLine="640" w:firstLineChars="200"/>
        <w:rPr>
          <w:lang w:eastAsia="zh-CN"/>
        </w:rPr>
      </w:pPr>
      <w:r>
        <w:rPr>
          <w:lang w:eastAsia="zh-CN"/>
        </w:rPr>
        <w:t>（三）存在非正常专利申请代理行为且情节较为恶劣的；</w:t>
      </w:r>
    </w:p>
    <w:p>
      <w:pPr>
        <w:pStyle w:val="5"/>
        <w:spacing w:line="560" w:lineRule="exact"/>
        <w:ind w:left="0" w:firstLine="638"/>
        <w:rPr>
          <w:lang w:eastAsia="zh-CN"/>
        </w:rPr>
      </w:pPr>
      <w:r>
        <w:rPr>
          <w:w w:val="99"/>
          <w:lang w:eastAsia="zh-CN"/>
        </w:rPr>
        <w:t>（四）存在虚假宣传“包授权”、“有特殊途径通过快速预审”</w:t>
      </w:r>
      <w:r>
        <w:rPr>
          <w:lang w:eastAsia="zh-CN"/>
        </w:rPr>
        <w:t>等误导公众、扰乱预审秩序行为的；</w:t>
      </w:r>
    </w:p>
    <w:p>
      <w:pPr>
        <w:pStyle w:val="5"/>
        <w:spacing w:line="560" w:lineRule="exact"/>
        <w:ind w:left="0" w:firstLine="640" w:firstLineChars="200"/>
        <w:rPr>
          <w:lang w:eastAsia="zh-CN"/>
        </w:rPr>
      </w:pPr>
      <w:r>
        <w:rPr>
          <w:lang w:eastAsia="zh-CN"/>
        </w:rPr>
        <w:t>（五）一年内代理专利申请预审不合格比例超过50%的；</w:t>
      </w:r>
    </w:p>
    <w:p>
      <w:pPr>
        <w:pStyle w:val="5"/>
        <w:spacing w:line="560" w:lineRule="exact"/>
        <w:ind w:left="0" w:firstLine="640" w:firstLineChars="200"/>
        <w:rPr>
          <w:lang w:eastAsia="zh-CN"/>
        </w:rPr>
      </w:pPr>
      <w:r>
        <w:rPr>
          <w:lang w:eastAsia="zh-CN"/>
        </w:rPr>
        <w:t>（六）其他扰乱专利申请预审工作秩序的。</w:t>
      </w:r>
    </w:p>
    <w:p>
      <w:pPr>
        <w:pStyle w:val="5"/>
        <w:spacing w:line="560" w:lineRule="exact"/>
        <w:ind w:left="0" w:firstLine="638"/>
        <w:rPr>
          <w:lang w:eastAsia="zh-CN"/>
        </w:rPr>
      </w:pPr>
      <w:r>
        <w:rPr>
          <w:lang w:eastAsia="zh-CN"/>
        </w:rPr>
        <w:t>暂停期满且相关情形不存在后，代理机构可书面申请恢复专利申请预审服务。</w:t>
      </w:r>
    </w:p>
    <w:p>
      <w:pPr>
        <w:pStyle w:val="5"/>
        <w:spacing w:line="560" w:lineRule="exact"/>
        <w:ind w:left="0" w:firstLine="638"/>
        <w:rPr>
          <w:lang w:eastAsia="zh-CN"/>
        </w:rPr>
      </w:pPr>
      <w:r>
        <w:rPr>
          <w:b/>
          <w:lang w:eastAsia="zh-CN"/>
        </w:rPr>
        <w:t xml:space="preserve">第二十四条 </w:t>
      </w:r>
      <w:r>
        <w:rPr>
          <w:lang w:eastAsia="zh-CN"/>
        </w:rPr>
        <w:t>备案主体存在以下情形之一的，取消备案主体资格，且在三年内不再受理备案申请：</w:t>
      </w:r>
    </w:p>
    <w:p>
      <w:pPr>
        <w:pStyle w:val="5"/>
        <w:spacing w:line="560" w:lineRule="exact"/>
        <w:ind w:left="0" w:firstLine="640" w:firstLineChars="200"/>
        <w:rPr>
          <w:lang w:eastAsia="zh-CN"/>
        </w:rPr>
      </w:pPr>
      <w:r>
        <w:rPr>
          <w:lang w:eastAsia="zh-CN"/>
        </w:rPr>
        <w:t>（一）提交虚假材料，违反诚信原则的；</w:t>
      </w:r>
    </w:p>
    <w:p>
      <w:pPr>
        <w:pStyle w:val="5"/>
        <w:spacing w:line="560" w:lineRule="exact"/>
        <w:ind w:left="0" w:firstLine="638"/>
        <w:rPr>
          <w:lang w:eastAsia="zh-CN"/>
        </w:rPr>
      </w:pPr>
      <w:r>
        <w:rPr>
          <w:lang w:eastAsia="zh-CN"/>
        </w:rPr>
        <w:t>（二）已暂停专利申请预审服务一次，再次违反专利申请预审服务规范事项的；</w:t>
      </w:r>
    </w:p>
    <w:p>
      <w:pPr>
        <w:pStyle w:val="5"/>
        <w:spacing w:line="560" w:lineRule="exact"/>
        <w:ind w:left="0" w:firstLine="638"/>
        <w:jc w:val="both"/>
        <w:rPr>
          <w:lang w:eastAsia="zh-CN"/>
        </w:rPr>
      </w:pPr>
      <w:r>
        <w:rPr>
          <w:lang w:eastAsia="zh-CN"/>
        </w:rPr>
        <w:t>（三）将预审通过后授权的专利进行转让，未在专利预审承</w:t>
      </w:r>
      <w:r>
        <w:rPr>
          <w:w w:val="95"/>
          <w:lang w:eastAsia="zh-CN"/>
        </w:rPr>
        <w:t>诺书规定的期限内向</w:t>
      </w:r>
      <w:r>
        <w:rPr>
          <w:rFonts w:hint="eastAsia" w:ascii="仿宋" w:eastAsia="仿宋"/>
          <w:w w:val="95"/>
          <w:lang w:eastAsia="zh-CN"/>
        </w:rPr>
        <w:t>嘉兴</w:t>
      </w:r>
      <w:r>
        <w:rPr>
          <w:w w:val="95"/>
          <w:lang w:eastAsia="zh-CN"/>
        </w:rPr>
        <w:t>保护中心提交报备材料或报备理由不</w:t>
      </w:r>
      <w:r>
        <w:rPr>
          <w:lang w:eastAsia="zh-CN"/>
        </w:rPr>
        <w:t>充分，一年内此类情况发生5件及以上的；</w:t>
      </w:r>
    </w:p>
    <w:p>
      <w:pPr>
        <w:pStyle w:val="5"/>
        <w:spacing w:line="560" w:lineRule="exact"/>
        <w:ind w:left="0" w:firstLine="640" w:firstLineChars="200"/>
        <w:jc w:val="both"/>
        <w:rPr>
          <w:lang w:eastAsia="zh-CN"/>
        </w:rPr>
      </w:pPr>
      <w:r>
        <w:rPr>
          <w:lang w:eastAsia="zh-CN"/>
        </w:rPr>
        <w:t>（四）一年内专利申请预审不合格比例超过70%的；</w:t>
      </w:r>
    </w:p>
    <w:p>
      <w:pPr>
        <w:pStyle w:val="5"/>
        <w:spacing w:line="560" w:lineRule="exact"/>
        <w:ind w:left="0" w:firstLine="638"/>
        <w:jc w:val="both"/>
        <w:rPr>
          <w:lang w:eastAsia="zh-CN"/>
        </w:rPr>
      </w:pPr>
      <w:r>
        <w:rPr>
          <w:lang w:eastAsia="zh-CN"/>
        </w:rPr>
        <w:t>（五）一年内有2件及以上的专利申请被国家知识产权局认定为非正常专利申请且申诉未通过的；</w:t>
      </w:r>
    </w:p>
    <w:p>
      <w:pPr>
        <w:pStyle w:val="5"/>
        <w:spacing w:line="560" w:lineRule="exact"/>
        <w:ind w:left="0" w:firstLine="640" w:firstLineChars="200"/>
        <w:rPr>
          <w:lang w:eastAsia="zh-CN"/>
        </w:rPr>
      </w:pPr>
      <w:r>
        <w:rPr>
          <w:lang w:eastAsia="zh-CN"/>
        </w:rPr>
        <w:t>（六）被国家知识产权局认定存在严重违法失信行为的；</w:t>
      </w:r>
    </w:p>
    <w:p>
      <w:pPr>
        <w:pStyle w:val="5"/>
        <w:spacing w:line="560" w:lineRule="exact"/>
        <w:ind w:left="0" w:firstLine="640" w:firstLineChars="200"/>
        <w:rPr>
          <w:lang w:eastAsia="zh-CN"/>
        </w:rPr>
      </w:pPr>
      <w:r>
        <w:rPr>
          <w:lang w:eastAsia="zh-CN"/>
        </w:rPr>
        <w:t>（七）备案主体经营范围包括知识产权代理服务相关业务的；（八）其他严重扰乱专利申请预审工作秩序的。</w:t>
      </w:r>
    </w:p>
    <w:p>
      <w:pPr>
        <w:pStyle w:val="5"/>
        <w:spacing w:line="560" w:lineRule="exact"/>
        <w:ind w:left="0" w:firstLine="638"/>
        <w:rPr>
          <w:lang w:eastAsia="zh-CN"/>
        </w:rPr>
      </w:pPr>
      <w:r>
        <w:rPr>
          <w:b/>
          <w:lang w:eastAsia="zh-CN"/>
        </w:rPr>
        <w:t xml:space="preserve">第二十五条 </w:t>
      </w:r>
      <w:r>
        <w:rPr>
          <w:lang w:eastAsia="zh-CN"/>
        </w:rPr>
        <w:t>代理机构存在以下情形之一的，取消预审服务资格，且在三年内不再提供预审服务：</w:t>
      </w:r>
    </w:p>
    <w:p>
      <w:pPr>
        <w:pStyle w:val="5"/>
        <w:adjustRightInd w:val="0"/>
        <w:spacing w:line="560" w:lineRule="exact"/>
        <w:ind w:left="0" w:firstLine="640" w:firstLineChars="200"/>
        <w:rPr>
          <w:lang w:eastAsia="zh-CN"/>
        </w:rPr>
      </w:pPr>
      <w:r>
        <w:rPr>
          <w:lang w:eastAsia="zh-CN"/>
        </w:rPr>
        <w:t>（一）提交虚假材料，违反诚信原则的；</w:t>
      </w:r>
    </w:p>
    <w:p>
      <w:pPr>
        <w:pStyle w:val="5"/>
        <w:adjustRightInd w:val="0"/>
        <w:spacing w:line="560" w:lineRule="exact"/>
        <w:ind w:left="0" w:firstLine="640" w:firstLineChars="200"/>
        <w:rPr>
          <w:lang w:eastAsia="zh-CN"/>
        </w:rPr>
      </w:pPr>
      <w:r>
        <w:rPr>
          <w:lang w:eastAsia="zh-CN"/>
        </w:rPr>
        <w:t>（二）被撤销、吊销执业许可证或列入严重违法失信名单的；</w:t>
      </w:r>
    </w:p>
    <w:p>
      <w:pPr>
        <w:pStyle w:val="5"/>
        <w:spacing w:line="560" w:lineRule="exact"/>
        <w:ind w:left="0" w:firstLine="641"/>
        <w:rPr>
          <w:lang w:eastAsia="zh-CN"/>
        </w:rPr>
      </w:pPr>
      <w:r>
        <w:rPr>
          <w:lang w:eastAsia="zh-CN"/>
        </w:rPr>
        <w:t>（三）已暂停专利申请预审服务一次，再次违反专利申请预审服务规范事项的；</w:t>
      </w:r>
    </w:p>
    <w:p>
      <w:pPr>
        <w:pStyle w:val="5"/>
        <w:spacing w:line="560" w:lineRule="exact"/>
        <w:ind w:left="0" w:firstLine="640" w:firstLineChars="200"/>
        <w:rPr>
          <w:lang w:eastAsia="zh-CN"/>
        </w:rPr>
      </w:pPr>
      <w:r>
        <w:rPr>
          <w:lang w:eastAsia="zh-CN"/>
        </w:rPr>
        <w:t>（四）一年内代理的专利申请预审不合格比例超过70%的；</w:t>
      </w:r>
    </w:p>
    <w:p>
      <w:pPr>
        <w:pStyle w:val="5"/>
        <w:spacing w:line="560" w:lineRule="exact"/>
        <w:ind w:left="0" w:firstLine="640" w:firstLineChars="200"/>
        <w:rPr>
          <w:lang w:eastAsia="zh-CN"/>
        </w:rPr>
      </w:pPr>
      <w:r>
        <w:rPr>
          <w:lang w:eastAsia="zh-CN"/>
        </w:rPr>
        <w:t>（五）其他严重扰乱专利申请预审工作秩序的。</w:t>
      </w:r>
    </w:p>
    <w:p>
      <w:pPr>
        <w:pStyle w:val="5"/>
        <w:spacing w:line="560" w:lineRule="exact"/>
        <w:ind w:left="0" w:firstLine="638"/>
        <w:jc w:val="both"/>
        <w:rPr>
          <w:lang w:eastAsia="zh-CN"/>
        </w:rPr>
      </w:pPr>
      <w:r>
        <w:rPr>
          <w:b/>
          <w:lang w:eastAsia="zh-CN"/>
        </w:rPr>
        <w:t xml:space="preserve">第二十六条 </w:t>
      </w:r>
      <w:r>
        <w:rPr>
          <w:lang w:eastAsia="zh-CN"/>
        </w:rPr>
        <w:t>备案主体处于暂停期或自取消备案主体资格之</w:t>
      </w:r>
      <w:r>
        <w:rPr>
          <w:w w:val="95"/>
          <w:lang w:eastAsia="zh-CN"/>
        </w:rPr>
        <w:t>日起，</w:t>
      </w:r>
      <w:r>
        <w:rPr>
          <w:rFonts w:hint="eastAsia" w:ascii="仿宋" w:eastAsia="仿宋"/>
          <w:w w:val="95"/>
          <w:lang w:eastAsia="zh-CN"/>
        </w:rPr>
        <w:t>嘉兴</w:t>
      </w:r>
      <w:r>
        <w:rPr>
          <w:w w:val="95"/>
          <w:lang w:eastAsia="zh-CN"/>
        </w:rPr>
        <w:t>保护中心不再接受其新提交的专利申请预审请求。代理机构处于暂停期或自取消预审服务资格之日起，</w:t>
      </w:r>
      <w:r>
        <w:rPr>
          <w:rFonts w:hint="eastAsia" w:ascii="仿宋" w:eastAsia="仿宋"/>
          <w:w w:val="95"/>
          <w:lang w:eastAsia="zh-CN"/>
        </w:rPr>
        <w:t>嘉兴</w:t>
      </w:r>
      <w:r>
        <w:rPr>
          <w:w w:val="95"/>
          <w:lang w:eastAsia="zh-CN"/>
        </w:rPr>
        <w:t>保护中心</w:t>
      </w:r>
      <w:r>
        <w:rPr>
          <w:lang w:eastAsia="zh-CN"/>
        </w:rPr>
        <w:t>不再接受其代为办理的专利申请预审请求。</w:t>
      </w:r>
    </w:p>
    <w:p>
      <w:pPr>
        <w:pStyle w:val="5"/>
        <w:spacing w:line="560" w:lineRule="exact"/>
        <w:ind w:left="0" w:firstLine="643"/>
        <w:jc w:val="both"/>
        <w:rPr>
          <w:lang w:eastAsia="zh-CN"/>
        </w:rPr>
      </w:pPr>
      <w:r>
        <w:rPr>
          <w:b/>
          <w:lang w:eastAsia="zh-CN"/>
        </w:rPr>
        <w:t xml:space="preserve">第二十七条 </w:t>
      </w:r>
      <w:r>
        <w:rPr>
          <w:rFonts w:hint="eastAsia" w:ascii="仿宋" w:eastAsia="仿宋"/>
          <w:lang w:eastAsia="zh-CN"/>
        </w:rPr>
        <w:t>嘉兴</w:t>
      </w:r>
      <w:r>
        <w:rPr>
          <w:lang w:eastAsia="zh-CN"/>
        </w:rPr>
        <w:t>保护中心对违反专利申请预审服务规范事项的情形作出处理的，以电子邮件方式通知相关备案主体或代理机构。如有异议，可在收到通知之日起5个工作日内，向</w:t>
      </w:r>
      <w:r>
        <w:rPr>
          <w:rFonts w:hint="eastAsia" w:ascii="仿宋" w:eastAsia="仿宋"/>
          <w:lang w:eastAsia="zh-CN"/>
        </w:rPr>
        <w:t>嘉兴</w:t>
      </w:r>
      <w:r>
        <w:rPr>
          <w:lang w:eastAsia="zh-CN"/>
        </w:rPr>
        <w:t>保</w:t>
      </w:r>
      <w:r>
        <w:rPr>
          <w:w w:val="95"/>
          <w:lang w:eastAsia="zh-CN"/>
        </w:rPr>
        <w:t>护中心提出异议并提供证明材料。经审定，异议成立的，取消处</w:t>
      </w:r>
      <w:r>
        <w:rPr>
          <w:lang w:eastAsia="zh-CN"/>
        </w:rPr>
        <w:t>理结果；异议不成立的，维持原处理结果。</w:t>
      </w:r>
    </w:p>
    <w:p>
      <w:pPr>
        <w:pStyle w:val="5"/>
        <w:spacing w:line="560" w:lineRule="exact"/>
        <w:ind w:left="0"/>
        <w:jc w:val="center"/>
        <w:rPr>
          <w:rFonts w:ascii="黑体" w:eastAsia="黑体"/>
          <w:lang w:eastAsia="zh-CN"/>
        </w:rPr>
      </w:pPr>
      <w:r>
        <w:rPr>
          <w:rFonts w:hint="eastAsia" w:ascii="黑体" w:eastAsia="黑体"/>
          <w:lang w:eastAsia="zh-CN"/>
        </w:rPr>
        <w:t>第五章 附则</w:t>
      </w:r>
    </w:p>
    <w:p>
      <w:pPr>
        <w:spacing w:line="560" w:lineRule="exact"/>
        <w:ind w:firstLine="640" w:firstLineChars="200"/>
        <w:rPr>
          <w:sz w:val="32"/>
          <w:lang w:eastAsia="zh-CN"/>
        </w:rPr>
      </w:pPr>
      <w:r>
        <w:rPr>
          <w:b/>
          <w:sz w:val="32"/>
          <w:lang w:eastAsia="zh-CN"/>
        </w:rPr>
        <w:t xml:space="preserve">第二十八条 </w:t>
      </w:r>
      <w:r>
        <w:rPr>
          <w:sz w:val="32"/>
          <w:lang w:eastAsia="zh-CN"/>
        </w:rPr>
        <w:t>本办法由</w:t>
      </w:r>
      <w:r>
        <w:rPr>
          <w:rFonts w:hint="eastAsia" w:ascii="仿宋" w:eastAsia="仿宋"/>
          <w:sz w:val="32"/>
          <w:lang w:eastAsia="zh-CN"/>
        </w:rPr>
        <w:t>嘉兴</w:t>
      </w:r>
      <w:r>
        <w:rPr>
          <w:sz w:val="32"/>
          <w:lang w:eastAsia="zh-CN"/>
        </w:rPr>
        <w:t>保护中心负责解释。</w:t>
      </w:r>
    </w:p>
    <w:p>
      <w:pPr>
        <w:spacing w:line="560" w:lineRule="exact"/>
        <w:ind w:firstLine="640" w:firstLineChars="200"/>
        <w:rPr>
          <w:sz w:val="32"/>
          <w:lang w:eastAsia="zh-CN"/>
        </w:rPr>
        <w:sectPr>
          <w:footerReference r:id="rId3" w:type="default"/>
          <w:pgSz w:w="11910" w:h="16840"/>
          <w:pgMar w:top="2098" w:right="1474" w:bottom="1985" w:left="1588" w:header="0" w:footer="1038" w:gutter="0"/>
          <w:cols w:space="720" w:num="1"/>
          <w:docGrid w:type="linesAndChars" w:linePitch="498" w:charSpace="0"/>
        </w:sectPr>
      </w:pPr>
      <w:r>
        <w:rPr>
          <w:b/>
          <w:sz w:val="32"/>
          <w:lang w:eastAsia="zh-CN"/>
        </w:rPr>
        <w:t xml:space="preserve">第二十九条 </w:t>
      </w:r>
      <w:r>
        <w:rPr>
          <w:sz w:val="32"/>
          <w:lang w:eastAsia="zh-CN"/>
        </w:rPr>
        <w:t>本办法自发布之日起施行。</w:t>
      </w:r>
    </w:p>
    <w:p>
      <w:pPr>
        <w:rPr>
          <w:rFonts w:ascii="黑体" w:hAnsi="黑体" w:eastAsia="黑体" w:cs="黑体"/>
          <w:sz w:val="32"/>
          <w:szCs w:val="32"/>
          <w:lang w:eastAsia="zh-CN"/>
        </w:rPr>
      </w:pPr>
      <w:bookmarkStart w:id="0" w:name="附件1"/>
      <w:bookmarkEnd w:id="0"/>
      <w:r>
        <w:rPr>
          <w:rFonts w:hint="eastAsia" w:ascii="黑体" w:hAnsi="黑体" w:eastAsia="黑体" w:cs="黑体"/>
          <w:sz w:val="32"/>
          <w:szCs w:val="32"/>
          <w:lang w:eastAsia="zh-CN"/>
        </w:rPr>
        <w:t>附件1：</w:t>
      </w:r>
    </w:p>
    <w:tbl>
      <w:tblPr>
        <w:tblStyle w:val="11"/>
        <w:tblpPr w:leftFromText="180" w:rightFromText="180" w:vertAnchor="text" w:horzAnchor="margin" w:tblpY="367"/>
        <w:tblOverlap w:val="never"/>
        <w:tblW w:w="9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2585"/>
        <w:gridCol w:w="1630"/>
        <w:gridCol w:w="955"/>
        <w:gridCol w:w="718"/>
        <w:gridCol w:w="18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5" w:type="dxa"/>
            <w:gridSpan w:val="6"/>
            <w:tcBorders>
              <w:top w:val="nil"/>
              <w:left w:val="nil"/>
              <w:right w:val="nil"/>
            </w:tcBorders>
            <w:vAlign w:val="center"/>
          </w:tcPr>
          <w:p>
            <w:pPr>
              <w:autoSpaceDE/>
              <w:autoSpaceDN/>
              <w:snapToGrid w:val="0"/>
              <w:spacing w:line="216" w:lineRule="auto"/>
              <w:jc w:val="center"/>
              <w:rPr>
                <w:rFonts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lang w:eastAsia="zh-CN"/>
              </w:rPr>
              <w:t>嘉兴市知识产权保护中心</w:t>
            </w:r>
          </w:p>
          <w:p>
            <w:pPr>
              <w:autoSpaceDE/>
              <w:autoSpaceDN/>
              <w:snapToGrid w:val="0"/>
              <w:spacing w:line="216" w:lineRule="auto"/>
              <w:jc w:val="center"/>
              <w:rPr>
                <w:rFonts w:ascii="方正小标宋简体" w:hAnsi="方正小标宋简体" w:eastAsia="方正小标宋简体" w:cs="方正小标宋简体"/>
                <w:sz w:val="32"/>
                <w:szCs w:val="32"/>
                <w:lang w:eastAsia="zh-CN"/>
              </w:rPr>
            </w:pPr>
            <w:r>
              <w:rPr>
                <w:rFonts w:hint="eastAsia" w:ascii="方正小标宋简体" w:eastAsia="方正小标宋简体"/>
                <w:sz w:val="32"/>
                <w:szCs w:val="32"/>
                <w:lang w:eastAsia="zh-CN"/>
              </w:rPr>
              <w:t>企事业单位专利预审备案申请表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765" w:type="dxa"/>
            <w:gridSpan w:val="6"/>
            <w:vAlign w:val="center"/>
          </w:tcPr>
          <w:p>
            <w:pPr>
              <w:jc w:val="center"/>
              <w:rPr>
                <w:sz w:val="24"/>
                <w:szCs w:val="24"/>
                <w:lang w:eastAsia="zh-CN"/>
              </w:rPr>
            </w:pPr>
            <w:r>
              <w:rPr>
                <w:rFonts w:hint="eastAsia"/>
                <w:b/>
                <w:bCs/>
                <w:sz w:val="28"/>
                <w:szCs w:val="24"/>
                <w:lang w:eastAsia="zh-CN"/>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2010" w:type="dxa"/>
            <w:vAlign w:val="center"/>
          </w:tcPr>
          <w:p>
            <w:pPr>
              <w:jc w:val="center"/>
              <w:rPr>
                <w:sz w:val="24"/>
                <w:szCs w:val="24"/>
                <w:lang w:eastAsia="zh-CN"/>
              </w:rPr>
            </w:pPr>
            <w:r>
              <w:rPr>
                <w:rFonts w:hint="eastAsia"/>
                <w:sz w:val="24"/>
                <w:szCs w:val="24"/>
                <w:lang w:eastAsia="zh-CN"/>
              </w:rPr>
              <w:t>申请单位名称</w:t>
            </w:r>
          </w:p>
        </w:tc>
        <w:tc>
          <w:tcPr>
            <w:tcW w:w="4215" w:type="dxa"/>
            <w:gridSpan w:val="2"/>
            <w:vAlign w:val="center"/>
          </w:tcPr>
          <w:p>
            <w:pPr>
              <w:jc w:val="right"/>
              <w:rPr>
                <w:sz w:val="24"/>
                <w:szCs w:val="24"/>
                <w:lang w:eastAsia="zh-CN"/>
              </w:rPr>
            </w:pPr>
            <w:r>
              <w:rPr>
                <w:rFonts w:hint="eastAsia"/>
                <w:sz w:val="24"/>
                <w:szCs w:val="24"/>
                <w:lang w:eastAsia="zh-CN"/>
              </w:rPr>
              <w:t>（加盖公章）</w:t>
            </w:r>
          </w:p>
        </w:tc>
        <w:tc>
          <w:tcPr>
            <w:tcW w:w="1673" w:type="dxa"/>
            <w:gridSpan w:val="2"/>
            <w:vAlign w:val="center"/>
          </w:tcPr>
          <w:p>
            <w:pPr>
              <w:jc w:val="center"/>
              <w:rPr>
                <w:sz w:val="24"/>
                <w:szCs w:val="24"/>
                <w:lang w:eastAsia="zh-CN"/>
              </w:rPr>
            </w:pPr>
            <w:r>
              <w:rPr>
                <w:rFonts w:hint="eastAsia"/>
                <w:sz w:val="24"/>
                <w:szCs w:val="24"/>
                <w:lang w:eastAsia="zh-CN"/>
              </w:rPr>
              <w:t>法定代表人</w:t>
            </w:r>
          </w:p>
        </w:tc>
        <w:tc>
          <w:tcPr>
            <w:tcW w:w="1867" w:type="dxa"/>
            <w:vAlign w:val="center"/>
          </w:tcPr>
          <w:p>
            <w:pPr>
              <w:jc w:val="both"/>
              <w:rPr>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10" w:type="dxa"/>
            <w:vAlign w:val="center"/>
          </w:tcPr>
          <w:p>
            <w:pPr>
              <w:jc w:val="center"/>
              <w:rPr>
                <w:sz w:val="24"/>
                <w:szCs w:val="24"/>
                <w:lang w:eastAsia="zh-CN"/>
              </w:rPr>
            </w:pPr>
            <w:r>
              <w:rPr>
                <w:rFonts w:hint="eastAsia"/>
                <w:sz w:val="24"/>
                <w:szCs w:val="24"/>
                <w:lang w:eastAsia="zh-CN"/>
              </w:rPr>
              <w:t>统一社会信用</w:t>
            </w:r>
          </w:p>
          <w:p>
            <w:pPr>
              <w:jc w:val="center"/>
              <w:rPr>
                <w:sz w:val="24"/>
                <w:szCs w:val="24"/>
                <w:lang w:eastAsia="zh-CN"/>
              </w:rPr>
            </w:pPr>
            <w:r>
              <w:rPr>
                <w:rFonts w:hint="eastAsia"/>
                <w:sz w:val="24"/>
                <w:szCs w:val="24"/>
                <w:lang w:eastAsia="zh-CN"/>
              </w:rPr>
              <w:t>代码</w:t>
            </w:r>
          </w:p>
        </w:tc>
        <w:tc>
          <w:tcPr>
            <w:tcW w:w="4215" w:type="dxa"/>
            <w:gridSpan w:val="2"/>
            <w:vAlign w:val="center"/>
          </w:tcPr>
          <w:p>
            <w:pPr>
              <w:jc w:val="center"/>
              <w:rPr>
                <w:sz w:val="24"/>
                <w:szCs w:val="24"/>
                <w:lang w:eastAsia="zh-CN"/>
              </w:rPr>
            </w:pPr>
          </w:p>
        </w:tc>
        <w:tc>
          <w:tcPr>
            <w:tcW w:w="1673" w:type="dxa"/>
            <w:gridSpan w:val="2"/>
            <w:vAlign w:val="center"/>
          </w:tcPr>
          <w:p>
            <w:pPr>
              <w:jc w:val="center"/>
              <w:rPr>
                <w:sz w:val="24"/>
                <w:szCs w:val="24"/>
                <w:lang w:eastAsia="zh-CN"/>
              </w:rPr>
            </w:pPr>
            <w:r>
              <w:rPr>
                <w:rFonts w:hint="eastAsia"/>
                <w:sz w:val="24"/>
                <w:szCs w:val="24"/>
                <w:lang w:eastAsia="zh-CN"/>
              </w:rPr>
              <w:t>邮编</w:t>
            </w:r>
          </w:p>
        </w:tc>
        <w:tc>
          <w:tcPr>
            <w:tcW w:w="1867" w:type="dxa"/>
            <w:vAlign w:val="center"/>
          </w:tcPr>
          <w:p>
            <w:pPr>
              <w:jc w:val="center"/>
              <w:rPr>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2010" w:type="dxa"/>
            <w:vAlign w:val="center"/>
          </w:tcPr>
          <w:p>
            <w:pPr>
              <w:jc w:val="center"/>
              <w:rPr>
                <w:sz w:val="24"/>
                <w:szCs w:val="24"/>
                <w:lang w:eastAsia="zh-CN"/>
              </w:rPr>
            </w:pPr>
            <w:r>
              <w:rPr>
                <w:rFonts w:hint="eastAsia"/>
                <w:sz w:val="24"/>
                <w:szCs w:val="24"/>
                <w:lang w:eastAsia="zh-CN"/>
              </w:rPr>
              <w:t>所属行业</w:t>
            </w:r>
          </w:p>
        </w:tc>
        <w:tc>
          <w:tcPr>
            <w:tcW w:w="7755" w:type="dxa"/>
            <w:gridSpan w:val="5"/>
            <w:vAlign w:val="center"/>
          </w:tcPr>
          <w:p>
            <w:pPr>
              <w:tabs>
                <w:tab w:val="left" w:pos="1182"/>
              </w:tabs>
              <w:jc w:val="left"/>
              <w:rPr>
                <w:sz w:val="24"/>
                <w:szCs w:val="24"/>
                <w:lang w:eastAsia="zh-CN"/>
              </w:rPr>
            </w:pPr>
            <w:r>
              <w:rPr>
                <w:rFonts w:hint="eastAsia"/>
                <w:sz w:val="24"/>
                <w:szCs w:val="24"/>
              </w:rPr>
              <w:sym w:font="Wingdings 2" w:char="00A3"/>
            </w:r>
            <w:r>
              <w:rPr>
                <w:rFonts w:hint="eastAsia"/>
                <w:sz w:val="24"/>
                <w:szCs w:val="24"/>
                <w:lang w:eastAsia="zh-CN"/>
              </w:rPr>
              <w:t xml:space="preserve">智能制造装备产业   </w:t>
            </w:r>
            <w:r>
              <w:rPr>
                <w:rFonts w:hint="eastAsia"/>
                <w:sz w:val="24"/>
                <w:szCs w:val="24"/>
              </w:rPr>
              <w:sym w:font="Wingdings 2" w:char="00A3"/>
            </w:r>
            <w:r>
              <w:rPr>
                <w:rFonts w:hint="eastAsia"/>
                <w:sz w:val="24"/>
                <w:szCs w:val="24"/>
                <w:lang w:eastAsia="zh-CN"/>
              </w:rPr>
              <w:t xml:space="preserve">航空装备产业   </w:t>
            </w:r>
            <w:r>
              <w:rPr>
                <w:rFonts w:hint="eastAsia"/>
                <w:sz w:val="24"/>
                <w:szCs w:val="24"/>
              </w:rPr>
              <w:sym w:font="Wingdings 2" w:char="00A3"/>
            </w:r>
            <w:r>
              <w:rPr>
                <w:rFonts w:hint="eastAsia"/>
                <w:sz w:val="24"/>
                <w:szCs w:val="24"/>
                <w:lang w:eastAsia="zh-CN"/>
              </w:rPr>
              <w:t>卫星及应用产业</w:t>
            </w:r>
          </w:p>
          <w:p>
            <w:pPr>
              <w:tabs>
                <w:tab w:val="left" w:pos="1182"/>
              </w:tabs>
              <w:jc w:val="left"/>
              <w:rPr>
                <w:sz w:val="24"/>
                <w:szCs w:val="24"/>
                <w:lang w:eastAsia="zh-CN"/>
              </w:rPr>
            </w:pPr>
            <w:r>
              <w:rPr>
                <w:rFonts w:hint="eastAsia"/>
                <w:sz w:val="24"/>
                <w:szCs w:val="24"/>
              </w:rPr>
              <w:sym w:font="Wingdings 2" w:char="00A3"/>
            </w:r>
            <w:r>
              <w:rPr>
                <w:rFonts w:hint="eastAsia"/>
                <w:sz w:val="24"/>
                <w:szCs w:val="24"/>
                <w:lang w:eastAsia="zh-CN"/>
              </w:rPr>
              <w:t xml:space="preserve">轨道交通装备产业   </w:t>
            </w:r>
            <w:r>
              <w:rPr>
                <w:rFonts w:hint="eastAsia"/>
                <w:sz w:val="24"/>
                <w:szCs w:val="24"/>
              </w:rPr>
              <w:sym w:font="Wingdings 2" w:char="00A3"/>
            </w:r>
            <w:r>
              <w:rPr>
                <w:rFonts w:hint="eastAsia"/>
                <w:sz w:val="24"/>
                <w:szCs w:val="24"/>
                <w:lang w:eastAsia="zh-CN"/>
              </w:rPr>
              <w:t xml:space="preserve">海洋工程装备产业  </w:t>
            </w:r>
          </w:p>
          <w:p>
            <w:pPr>
              <w:tabs>
                <w:tab w:val="left" w:pos="1182"/>
              </w:tabs>
              <w:jc w:val="left"/>
              <w:rPr>
                <w:sz w:val="24"/>
                <w:szCs w:val="24"/>
                <w:lang w:eastAsia="zh-CN"/>
              </w:rPr>
            </w:pPr>
            <w:r>
              <w:rPr>
                <w:rFonts w:hint="eastAsia"/>
                <w:sz w:val="24"/>
                <w:szCs w:val="24"/>
              </w:rPr>
              <w:sym w:font="Wingdings 2" w:char="00A3"/>
            </w:r>
            <w:r>
              <w:rPr>
                <w:rFonts w:hint="eastAsia"/>
                <w:sz w:val="24"/>
                <w:szCs w:val="24"/>
                <w:lang w:eastAsia="zh-CN"/>
              </w:rPr>
              <w:t>其他高端装备制造产业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2010" w:type="dxa"/>
            <w:vAlign w:val="center"/>
          </w:tcPr>
          <w:p>
            <w:pPr>
              <w:jc w:val="center"/>
              <w:rPr>
                <w:sz w:val="24"/>
                <w:szCs w:val="24"/>
                <w:lang w:eastAsia="zh-CN"/>
              </w:rPr>
            </w:pPr>
            <w:r>
              <w:rPr>
                <w:rFonts w:hint="eastAsia"/>
                <w:sz w:val="24"/>
                <w:szCs w:val="24"/>
              </w:rPr>
              <w:t>单位性质</w:t>
            </w:r>
          </w:p>
        </w:tc>
        <w:tc>
          <w:tcPr>
            <w:tcW w:w="7755" w:type="dxa"/>
            <w:gridSpan w:val="5"/>
            <w:vAlign w:val="center"/>
          </w:tcPr>
          <w:p>
            <w:pPr>
              <w:ind w:left="720" w:hanging="720" w:hangingChars="300"/>
              <w:jc w:val="left"/>
              <w:rPr>
                <w:sz w:val="24"/>
                <w:szCs w:val="24"/>
                <w:lang w:eastAsia="zh-CN"/>
              </w:rPr>
            </w:pPr>
            <w:r>
              <w:rPr>
                <w:rFonts w:hint="eastAsia"/>
                <w:sz w:val="24"/>
                <w:szCs w:val="24"/>
              </w:rPr>
              <w:sym w:font="Wingdings 2" w:char="00A3"/>
            </w:r>
            <w:r>
              <w:rPr>
                <w:rFonts w:hint="eastAsia"/>
                <w:sz w:val="24"/>
                <w:szCs w:val="24"/>
                <w:lang w:eastAsia="zh-CN"/>
              </w:rPr>
              <w:t>企业【</w:t>
            </w:r>
            <w:r>
              <w:rPr>
                <w:rFonts w:hint="eastAsia"/>
                <w:sz w:val="24"/>
                <w:szCs w:val="24"/>
              </w:rPr>
              <w:sym w:font="Wingdings 2" w:char="00A3"/>
            </w:r>
            <w:r>
              <w:rPr>
                <w:rFonts w:hint="eastAsia"/>
                <w:sz w:val="24"/>
                <w:szCs w:val="24"/>
                <w:lang w:eastAsia="zh-CN"/>
              </w:rPr>
              <w:t>民营企业、</w:t>
            </w:r>
            <w:r>
              <w:rPr>
                <w:rFonts w:hint="eastAsia"/>
                <w:sz w:val="24"/>
                <w:szCs w:val="24"/>
              </w:rPr>
              <w:sym w:font="Wingdings 2" w:char="00A3"/>
            </w:r>
            <w:r>
              <w:rPr>
                <w:rFonts w:hint="eastAsia"/>
                <w:sz w:val="24"/>
                <w:szCs w:val="24"/>
                <w:lang w:eastAsia="zh-CN"/>
              </w:rPr>
              <w:t>国有及国有控股企业、</w:t>
            </w:r>
            <w:r>
              <w:rPr>
                <w:rFonts w:hint="eastAsia"/>
                <w:sz w:val="24"/>
                <w:szCs w:val="24"/>
              </w:rPr>
              <w:sym w:font="Wingdings 2" w:char="00A3"/>
            </w:r>
            <w:r>
              <w:rPr>
                <w:rFonts w:hint="eastAsia"/>
                <w:sz w:val="24"/>
                <w:szCs w:val="24"/>
                <w:lang w:eastAsia="zh-CN"/>
              </w:rPr>
              <w:t>国防军事企业、</w:t>
            </w:r>
          </w:p>
          <w:p>
            <w:pPr>
              <w:ind w:left="719" w:leftChars="327" w:firstLine="240" w:firstLineChars="100"/>
              <w:jc w:val="left"/>
              <w:rPr>
                <w:sz w:val="24"/>
                <w:szCs w:val="24"/>
                <w:lang w:eastAsia="zh-CN"/>
              </w:rPr>
            </w:pPr>
            <w:r>
              <w:rPr>
                <w:rFonts w:hint="eastAsia"/>
                <w:sz w:val="24"/>
                <w:szCs w:val="24"/>
              </w:rPr>
              <w:sym w:font="Wingdings 2" w:char="00A3"/>
            </w:r>
            <w:r>
              <w:rPr>
                <w:rFonts w:hint="eastAsia"/>
                <w:sz w:val="24"/>
                <w:szCs w:val="24"/>
                <w:lang w:eastAsia="zh-CN"/>
              </w:rPr>
              <w:t>外资企业（外资国别/地区：     )、</w:t>
            </w:r>
          </w:p>
          <w:p>
            <w:pPr>
              <w:ind w:left="719" w:leftChars="327" w:firstLine="240" w:firstLineChars="100"/>
              <w:jc w:val="left"/>
              <w:rPr>
                <w:sz w:val="24"/>
                <w:szCs w:val="24"/>
                <w:lang w:eastAsia="zh-CN"/>
              </w:rPr>
            </w:pPr>
            <w:r>
              <w:rPr>
                <w:rFonts w:hint="eastAsia"/>
                <w:sz w:val="24"/>
                <w:szCs w:val="24"/>
              </w:rPr>
              <w:sym w:font="Wingdings 2" w:char="00A3"/>
            </w:r>
            <w:r>
              <w:rPr>
                <w:rFonts w:hint="eastAsia"/>
                <w:sz w:val="24"/>
                <w:szCs w:val="24"/>
                <w:lang w:eastAsia="zh-CN"/>
              </w:rPr>
              <w:t>合资企业（外资国别/地区：     )、</w:t>
            </w:r>
            <w:r>
              <w:rPr>
                <w:rFonts w:hint="eastAsia"/>
                <w:sz w:val="24"/>
                <w:szCs w:val="24"/>
              </w:rPr>
              <w:sym w:font="Wingdings 2" w:char="00A3"/>
            </w:r>
            <w:r>
              <w:rPr>
                <w:rFonts w:hint="eastAsia"/>
                <w:sz w:val="24"/>
                <w:szCs w:val="24"/>
                <w:lang w:eastAsia="zh-CN"/>
              </w:rPr>
              <w:t>其他类型企业】</w:t>
            </w:r>
          </w:p>
          <w:p>
            <w:pPr>
              <w:jc w:val="both"/>
              <w:rPr>
                <w:sz w:val="24"/>
                <w:szCs w:val="24"/>
                <w:lang w:eastAsia="zh-CN"/>
              </w:rPr>
            </w:pPr>
            <w:r>
              <w:rPr>
                <w:rFonts w:hint="eastAsia"/>
                <w:sz w:val="24"/>
                <w:szCs w:val="24"/>
              </w:rPr>
              <w:sym w:font="Wingdings 2" w:char="00A3"/>
            </w:r>
            <w:r>
              <w:rPr>
                <w:rFonts w:hint="eastAsia"/>
                <w:sz w:val="24"/>
                <w:szCs w:val="24"/>
                <w:lang w:eastAsia="zh-CN"/>
              </w:rPr>
              <w:t>事业单位【</w:t>
            </w:r>
            <w:r>
              <w:rPr>
                <w:rFonts w:hint="eastAsia"/>
                <w:sz w:val="24"/>
                <w:szCs w:val="24"/>
              </w:rPr>
              <w:sym w:font="Wingdings 2" w:char="00A3"/>
            </w:r>
            <w:r>
              <w:rPr>
                <w:rFonts w:hint="eastAsia"/>
                <w:sz w:val="24"/>
                <w:szCs w:val="24"/>
                <w:lang w:eastAsia="zh-CN"/>
              </w:rPr>
              <w:t>科研机构、</w:t>
            </w:r>
            <w:r>
              <w:rPr>
                <w:rFonts w:hint="eastAsia"/>
                <w:sz w:val="24"/>
                <w:szCs w:val="24"/>
              </w:rPr>
              <w:sym w:font="Wingdings 2" w:char="00A3"/>
            </w:r>
            <w:r>
              <w:rPr>
                <w:rFonts w:hint="eastAsia"/>
                <w:sz w:val="24"/>
                <w:szCs w:val="24"/>
                <w:lang w:eastAsia="zh-CN"/>
              </w:rPr>
              <w:t>大专院校、</w:t>
            </w:r>
            <w:r>
              <w:rPr>
                <w:rFonts w:hint="eastAsia"/>
                <w:sz w:val="24"/>
                <w:szCs w:val="24"/>
              </w:rPr>
              <w:sym w:font="Wingdings 2" w:char="00A3"/>
            </w:r>
            <w:r>
              <w:rPr>
                <w:rFonts w:hint="eastAsia"/>
                <w:sz w:val="24"/>
                <w:szCs w:val="24"/>
                <w:lang w:eastAsia="zh-CN"/>
              </w:rPr>
              <w:t>其他事业单位】</w:t>
            </w:r>
          </w:p>
          <w:p>
            <w:pPr>
              <w:jc w:val="both"/>
              <w:rPr>
                <w:sz w:val="24"/>
                <w:szCs w:val="24"/>
                <w:lang w:eastAsia="zh-CN"/>
              </w:rPr>
            </w:pPr>
            <w:r>
              <w:rPr>
                <w:rFonts w:hint="eastAsia"/>
                <w:sz w:val="24"/>
                <w:szCs w:val="24"/>
              </w:rPr>
              <w:sym w:font="Wingdings 2" w:char="00A3"/>
            </w:r>
            <w:r>
              <w:rPr>
                <w:rFonts w:hint="eastAsia"/>
                <w:sz w:val="24"/>
                <w:szCs w:val="24"/>
                <w:lang w:eastAsia="zh-CN"/>
              </w:rPr>
              <w:t xml:space="preserve">其他 </w:t>
            </w:r>
            <w:r>
              <w:rPr>
                <w:rFonts w:hint="eastAsia"/>
                <w:sz w:val="24"/>
                <w:szCs w:val="24"/>
                <w:u w:val="single"/>
                <w:lang w:eastAsia="zh-CN"/>
              </w:rPr>
              <w:t xml:space="preserve">                  </w:t>
            </w:r>
            <w:r>
              <w:rPr>
                <w:rFonts w:hint="eastAsia"/>
                <w:sz w:val="24"/>
                <w:szCs w:val="24"/>
                <w:lang w:eastAsia="zh-CN"/>
              </w:rPr>
              <w:t>（请填写具体性质）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2010" w:type="dxa"/>
            <w:vAlign w:val="center"/>
          </w:tcPr>
          <w:p>
            <w:pPr>
              <w:jc w:val="center"/>
              <w:rPr>
                <w:sz w:val="24"/>
                <w:szCs w:val="24"/>
                <w:lang w:eastAsia="zh-CN"/>
              </w:rPr>
            </w:pPr>
            <w:r>
              <w:rPr>
                <w:rFonts w:hint="eastAsia"/>
                <w:sz w:val="24"/>
                <w:szCs w:val="24"/>
                <w:lang w:eastAsia="zh-CN"/>
              </w:rPr>
              <w:t>单位规模</w:t>
            </w:r>
          </w:p>
        </w:tc>
        <w:tc>
          <w:tcPr>
            <w:tcW w:w="7755" w:type="dxa"/>
            <w:gridSpan w:val="5"/>
            <w:vAlign w:val="center"/>
          </w:tcPr>
          <w:p>
            <w:pPr>
              <w:jc w:val="both"/>
              <w:rPr>
                <w:sz w:val="24"/>
                <w:szCs w:val="24"/>
              </w:rPr>
            </w:pPr>
            <w:r>
              <w:rPr>
                <w:rFonts w:hint="eastAsia"/>
                <w:sz w:val="24"/>
                <w:szCs w:val="24"/>
              </w:rPr>
              <w:sym w:font="Wingdings 2" w:char="00A3"/>
            </w:r>
            <w:r>
              <w:rPr>
                <w:rFonts w:hint="eastAsia"/>
                <w:sz w:val="24"/>
                <w:szCs w:val="24"/>
              </w:rPr>
              <w:t>大型、</w:t>
            </w:r>
            <w:r>
              <w:rPr>
                <w:rFonts w:hint="eastAsia"/>
                <w:sz w:val="24"/>
                <w:szCs w:val="24"/>
              </w:rPr>
              <w:sym w:font="Wingdings 2" w:char="00A3"/>
            </w:r>
            <w:r>
              <w:rPr>
                <w:rFonts w:hint="eastAsia"/>
                <w:sz w:val="24"/>
                <w:szCs w:val="24"/>
              </w:rPr>
              <w:t>中型、</w:t>
            </w:r>
            <w:r>
              <w:rPr>
                <w:rFonts w:hint="eastAsia"/>
                <w:sz w:val="24"/>
                <w:szCs w:val="24"/>
              </w:rPr>
              <w:sym w:font="Wingdings 2" w:char="00A3"/>
            </w:r>
            <w:r>
              <w:rPr>
                <w:rFonts w:hint="eastAsia"/>
                <w:sz w:val="24"/>
                <w:szCs w:val="24"/>
              </w:rPr>
              <w:t>小型、</w:t>
            </w:r>
            <w:r>
              <w:rPr>
                <w:rFonts w:hint="eastAsia"/>
                <w:sz w:val="24"/>
                <w:szCs w:val="24"/>
              </w:rPr>
              <w:sym w:font="Wingdings 2" w:char="00A3"/>
            </w:r>
            <w:r>
              <w:rPr>
                <w:rFonts w:hint="eastAsia"/>
                <w:sz w:val="24"/>
                <w:szCs w:val="24"/>
              </w:rPr>
              <w:t>微型</w:t>
            </w:r>
          </w:p>
          <w:p>
            <w:pPr>
              <w:jc w:val="both"/>
              <w:rPr>
                <w:sz w:val="24"/>
                <w:szCs w:val="24"/>
                <w:lang w:eastAsia="zh-CN"/>
              </w:rPr>
            </w:pPr>
            <w:r>
              <w:rPr>
                <w:rFonts w:hint="eastAsia"/>
                <w:sz w:val="24"/>
                <w:szCs w:val="24"/>
                <w:lang w:eastAsia="zh-CN"/>
              </w:rPr>
              <w:t>（参考《国家统计局关于印发《统计上大中小微型企业划分办法(2017)》的通知》填写）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2010" w:type="dxa"/>
            <w:vAlign w:val="center"/>
          </w:tcPr>
          <w:p>
            <w:pPr>
              <w:jc w:val="center"/>
              <w:rPr>
                <w:sz w:val="24"/>
                <w:szCs w:val="24"/>
                <w:lang w:eastAsia="zh-CN"/>
              </w:rPr>
            </w:pPr>
            <w:r>
              <w:rPr>
                <w:rFonts w:hint="eastAsia"/>
                <w:sz w:val="24"/>
                <w:szCs w:val="24"/>
                <w:lang w:eastAsia="zh-CN"/>
              </w:rPr>
              <w:t>是否属于</w:t>
            </w:r>
          </w:p>
          <w:p>
            <w:pPr>
              <w:jc w:val="center"/>
              <w:rPr>
                <w:sz w:val="24"/>
                <w:szCs w:val="24"/>
                <w:lang w:eastAsia="zh-CN"/>
              </w:rPr>
            </w:pPr>
            <w:r>
              <w:rPr>
                <w:rFonts w:hint="eastAsia"/>
                <w:sz w:val="24"/>
                <w:szCs w:val="24"/>
                <w:lang w:eastAsia="zh-CN"/>
              </w:rPr>
              <w:t>专精特新企业</w:t>
            </w:r>
          </w:p>
        </w:tc>
        <w:tc>
          <w:tcPr>
            <w:tcW w:w="7755" w:type="dxa"/>
            <w:gridSpan w:val="5"/>
            <w:vAlign w:val="center"/>
          </w:tcPr>
          <w:p>
            <w:pPr>
              <w:jc w:val="both"/>
              <w:rPr>
                <w:sz w:val="24"/>
                <w:szCs w:val="24"/>
                <w:lang w:eastAsia="zh-CN"/>
              </w:rPr>
            </w:pPr>
            <w:r>
              <w:rPr>
                <w:rFonts w:hint="eastAsia"/>
                <w:sz w:val="24"/>
                <w:szCs w:val="24"/>
              </w:rPr>
              <w:sym w:font="Wingdings 2" w:char="00A3"/>
            </w:r>
            <w:r>
              <w:rPr>
                <w:rFonts w:hint="eastAsia"/>
                <w:sz w:val="24"/>
                <w:szCs w:val="24"/>
                <w:lang w:eastAsia="zh-CN"/>
              </w:rPr>
              <w:t>是【</w:t>
            </w:r>
            <w:r>
              <w:rPr>
                <w:rFonts w:hint="eastAsia"/>
                <w:sz w:val="24"/>
                <w:szCs w:val="24"/>
              </w:rPr>
              <w:sym w:font="Wingdings 2" w:char="00A3"/>
            </w:r>
            <w:r>
              <w:rPr>
                <w:rFonts w:hint="eastAsia"/>
                <w:sz w:val="24"/>
                <w:szCs w:val="24"/>
                <w:lang w:eastAsia="zh-CN"/>
              </w:rPr>
              <w:t xml:space="preserve">专精特新"小巨人"  </w:t>
            </w:r>
            <w:r>
              <w:rPr>
                <w:rFonts w:hint="eastAsia"/>
                <w:sz w:val="24"/>
                <w:szCs w:val="24"/>
              </w:rPr>
              <w:sym w:font="Wingdings 2" w:char="00A3"/>
            </w:r>
            <w:r>
              <w:rPr>
                <w:rFonts w:hint="eastAsia"/>
                <w:sz w:val="24"/>
                <w:szCs w:val="24"/>
                <w:lang w:eastAsia="zh-CN"/>
              </w:rPr>
              <w:t xml:space="preserve">国家级专精特新  </w:t>
            </w:r>
            <w:r>
              <w:rPr>
                <w:rFonts w:hint="eastAsia"/>
                <w:sz w:val="24"/>
                <w:szCs w:val="24"/>
              </w:rPr>
              <w:sym w:font="Wingdings 2" w:char="00A3"/>
            </w:r>
            <w:r>
              <w:rPr>
                <w:rFonts w:hint="eastAsia"/>
                <w:sz w:val="24"/>
                <w:szCs w:val="24"/>
                <w:lang w:eastAsia="zh-CN"/>
              </w:rPr>
              <w:t>嘉兴市专精特新】</w:t>
            </w:r>
          </w:p>
          <w:p>
            <w:pPr>
              <w:jc w:val="both"/>
              <w:rPr>
                <w:sz w:val="24"/>
                <w:szCs w:val="24"/>
                <w:lang w:eastAsia="zh-CN"/>
              </w:rPr>
            </w:pPr>
            <w:r>
              <w:rPr>
                <w:rFonts w:hint="eastAsia"/>
                <w:sz w:val="24"/>
                <w:szCs w:val="24"/>
              </w:rPr>
              <w:sym w:font="Wingdings 2" w:char="00A3"/>
            </w:r>
            <w:r>
              <w:rPr>
                <w:rFonts w:hint="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010" w:type="dxa"/>
            <w:vAlign w:val="center"/>
          </w:tcPr>
          <w:p>
            <w:pPr>
              <w:jc w:val="center"/>
              <w:rPr>
                <w:sz w:val="24"/>
                <w:szCs w:val="24"/>
                <w:lang w:eastAsia="zh-CN"/>
              </w:rPr>
            </w:pPr>
            <w:r>
              <w:rPr>
                <w:rFonts w:hint="eastAsia"/>
                <w:sz w:val="24"/>
                <w:szCs w:val="24"/>
              </w:rPr>
              <w:t>是否属于</w:t>
            </w:r>
          </w:p>
          <w:p>
            <w:pPr>
              <w:jc w:val="center"/>
              <w:rPr>
                <w:sz w:val="24"/>
                <w:szCs w:val="24"/>
                <w:lang w:eastAsia="zh-CN"/>
              </w:rPr>
            </w:pPr>
            <w:r>
              <w:rPr>
                <w:rFonts w:hint="eastAsia"/>
                <w:sz w:val="24"/>
                <w:szCs w:val="24"/>
              </w:rPr>
              <w:t>独角兽企业</w:t>
            </w:r>
          </w:p>
        </w:tc>
        <w:tc>
          <w:tcPr>
            <w:tcW w:w="7755" w:type="dxa"/>
            <w:gridSpan w:val="5"/>
            <w:vAlign w:val="center"/>
          </w:tcPr>
          <w:p>
            <w:pPr>
              <w:jc w:val="both"/>
              <w:rPr>
                <w:b/>
                <w:bCs/>
                <w:sz w:val="24"/>
                <w:szCs w:val="24"/>
                <w:lang w:eastAsia="zh-CN"/>
              </w:rPr>
            </w:pPr>
            <w:r>
              <w:rPr>
                <w:rFonts w:hint="eastAsia"/>
                <w:sz w:val="24"/>
                <w:szCs w:val="24"/>
              </w:rPr>
              <w:sym w:font="Wingdings 2" w:char="00A3"/>
            </w:r>
            <w:r>
              <w:rPr>
                <w:rFonts w:hint="eastAsia"/>
                <w:sz w:val="24"/>
                <w:szCs w:val="24"/>
              </w:rPr>
              <w:t>是</w:t>
            </w:r>
            <w:r>
              <w:rPr>
                <w:rFonts w:hint="eastAsia"/>
                <w:sz w:val="24"/>
                <w:szCs w:val="24"/>
              </w:rPr>
              <w:sym w:font="Wingdings 2" w:char="00A3"/>
            </w:r>
            <w:r>
              <w:rPr>
                <w:rFonts w:hint="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010" w:type="dxa"/>
            <w:vAlign w:val="center"/>
          </w:tcPr>
          <w:p>
            <w:pPr>
              <w:jc w:val="center"/>
              <w:rPr>
                <w:sz w:val="24"/>
                <w:szCs w:val="24"/>
                <w:lang w:eastAsia="zh-CN"/>
              </w:rPr>
            </w:pPr>
            <w:r>
              <w:rPr>
                <w:rFonts w:hint="eastAsia"/>
                <w:sz w:val="24"/>
                <w:szCs w:val="24"/>
              </w:rPr>
              <w:t>是否属于</w:t>
            </w:r>
          </w:p>
          <w:p>
            <w:pPr>
              <w:jc w:val="center"/>
              <w:rPr>
                <w:sz w:val="24"/>
                <w:szCs w:val="24"/>
                <w:lang w:eastAsia="zh-CN"/>
              </w:rPr>
            </w:pPr>
            <w:r>
              <w:rPr>
                <w:rFonts w:hint="eastAsia"/>
                <w:sz w:val="24"/>
                <w:szCs w:val="24"/>
              </w:rPr>
              <w:t>上市企业</w:t>
            </w:r>
          </w:p>
        </w:tc>
        <w:tc>
          <w:tcPr>
            <w:tcW w:w="7755" w:type="dxa"/>
            <w:gridSpan w:val="5"/>
            <w:vAlign w:val="center"/>
          </w:tcPr>
          <w:p>
            <w:pPr>
              <w:jc w:val="both"/>
              <w:rPr>
                <w:sz w:val="24"/>
                <w:szCs w:val="24"/>
                <w:lang w:eastAsia="zh-CN"/>
              </w:rPr>
            </w:pPr>
            <w:r>
              <w:rPr>
                <w:rFonts w:hint="eastAsia"/>
                <w:sz w:val="24"/>
                <w:szCs w:val="24"/>
              </w:rPr>
              <w:sym w:font="Wingdings 2" w:char="00A3"/>
            </w:r>
            <w:r>
              <w:rPr>
                <w:rFonts w:hint="eastAsia"/>
                <w:sz w:val="24"/>
                <w:szCs w:val="24"/>
                <w:lang w:eastAsia="zh-CN"/>
              </w:rPr>
              <w:t>是【</w:t>
            </w:r>
            <w:r>
              <w:rPr>
                <w:rFonts w:hint="eastAsia"/>
                <w:sz w:val="24"/>
                <w:szCs w:val="24"/>
              </w:rPr>
              <w:sym w:font="Wingdings 2" w:char="00A3"/>
            </w:r>
            <w:r>
              <w:rPr>
                <w:rFonts w:hint="eastAsia"/>
                <w:sz w:val="24"/>
                <w:szCs w:val="24"/>
                <w:lang w:eastAsia="zh-CN"/>
              </w:rPr>
              <w:t>上交所、深交所</w:t>
            </w:r>
            <w:r>
              <w:rPr>
                <w:rFonts w:hint="eastAsia"/>
                <w:sz w:val="24"/>
                <w:szCs w:val="24"/>
              </w:rPr>
              <w:sym w:font="Wingdings 2" w:char="00A3"/>
            </w:r>
            <w:r>
              <w:rPr>
                <w:rFonts w:hint="eastAsia"/>
                <w:sz w:val="24"/>
                <w:szCs w:val="24"/>
                <w:lang w:eastAsia="zh-CN"/>
              </w:rPr>
              <w:t>科创板</w:t>
            </w:r>
            <w:r>
              <w:rPr>
                <w:rFonts w:hint="eastAsia"/>
                <w:sz w:val="24"/>
                <w:szCs w:val="24"/>
              </w:rPr>
              <w:sym w:font="Wingdings 2" w:char="00A3"/>
            </w:r>
            <w:r>
              <w:rPr>
                <w:rFonts w:hint="eastAsia"/>
                <w:sz w:val="24"/>
                <w:szCs w:val="24"/>
                <w:lang w:eastAsia="zh-CN"/>
              </w:rPr>
              <w:t>其他】</w:t>
            </w:r>
          </w:p>
          <w:p>
            <w:pPr>
              <w:jc w:val="both"/>
              <w:rPr>
                <w:sz w:val="24"/>
                <w:szCs w:val="24"/>
                <w:lang w:eastAsia="zh-CN"/>
              </w:rPr>
            </w:pPr>
            <w:r>
              <w:rPr>
                <w:rFonts w:hint="eastAsia"/>
                <w:sz w:val="24"/>
                <w:szCs w:val="24"/>
              </w:rPr>
              <w:sym w:font="Wingdings 2" w:char="00A3"/>
            </w:r>
            <w:r>
              <w:rPr>
                <w:rFonts w:hint="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10" w:type="dxa"/>
            <w:vAlign w:val="center"/>
          </w:tcPr>
          <w:p>
            <w:pPr>
              <w:jc w:val="center"/>
              <w:rPr>
                <w:sz w:val="24"/>
                <w:szCs w:val="24"/>
                <w:lang w:eastAsia="zh-CN"/>
              </w:rPr>
            </w:pPr>
            <w:r>
              <w:rPr>
                <w:rFonts w:hint="eastAsia"/>
                <w:sz w:val="24"/>
                <w:szCs w:val="24"/>
              </w:rPr>
              <w:t>单位总人数</w:t>
            </w:r>
          </w:p>
        </w:tc>
        <w:tc>
          <w:tcPr>
            <w:tcW w:w="4215" w:type="dxa"/>
            <w:gridSpan w:val="2"/>
            <w:vAlign w:val="center"/>
          </w:tcPr>
          <w:p>
            <w:pPr>
              <w:jc w:val="center"/>
              <w:rPr>
                <w:sz w:val="24"/>
                <w:szCs w:val="24"/>
                <w:lang w:eastAsia="zh-CN"/>
              </w:rPr>
            </w:pPr>
          </w:p>
        </w:tc>
        <w:tc>
          <w:tcPr>
            <w:tcW w:w="1673" w:type="dxa"/>
            <w:gridSpan w:val="2"/>
            <w:vAlign w:val="center"/>
          </w:tcPr>
          <w:p>
            <w:pPr>
              <w:jc w:val="center"/>
              <w:rPr>
                <w:sz w:val="24"/>
                <w:szCs w:val="24"/>
                <w:lang w:eastAsia="zh-CN"/>
              </w:rPr>
            </w:pPr>
            <w:r>
              <w:rPr>
                <w:rFonts w:hint="eastAsia"/>
                <w:sz w:val="24"/>
                <w:szCs w:val="24"/>
              </w:rPr>
              <w:t>研发人员数量</w:t>
            </w:r>
          </w:p>
        </w:tc>
        <w:tc>
          <w:tcPr>
            <w:tcW w:w="1867" w:type="dxa"/>
            <w:vAlign w:val="center"/>
          </w:tcPr>
          <w:p>
            <w:pPr>
              <w:jc w:val="center"/>
              <w:rPr>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jc w:val="center"/>
              <w:rPr>
                <w:sz w:val="24"/>
                <w:szCs w:val="24"/>
                <w:lang w:eastAsia="zh-CN"/>
              </w:rPr>
            </w:pPr>
            <w:r>
              <w:rPr>
                <w:rFonts w:hint="eastAsia"/>
                <w:sz w:val="24"/>
                <w:szCs w:val="24"/>
                <w:lang w:eastAsia="zh-CN"/>
              </w:rPr>
              <w:t>上一年度经营收入金额（万元）</w:t>
            </w:r>
          </w:p>
        </w:tc>
        <w:tc>
          <w:tcPr>
            <w:tcW w:w="4215" w:type="dxa"/>
            <w:gridSpan w:val="2"/>
            <w:vAlign w:val="center"/>
          </w:tcPr>
          <w:p>
            <w:pPr>
              <w:jc w:val="center"/>
              <w:rPr>
                <w:sz w:val="24"/>
                <w:szCs w:val="24"/>
                <w:lang w:eastAsia="zh-CN"/>
              </w:rPr>
            </w:pPr>
          </w:p>
        </w:tc>
        <w:tc>
          <w:tcPr>
            <w:tcW w:w="1673" w:type="dxa"/>
            <w:gridSpan w:val="2"/>
            <w:vAlign w:val="center"/>
          </w:tcPr>
          <w:p>
            <w:pPr>
              <w:jc w:val="center"/>
              <w:rPr>
                <w:b/>
                <w:bCs/>
                <w:sz w:val="24"/>
                <w:szCs w:val="24"/>
                <w:lang w:eastAsia="zh-CN"/>
              </w:rPr>
            </w:pPr>
            <w:r>
              <w:rPr>
                <w:rFonts w:hint="eastAsia"/>
                <w:sz w:val="24"/>
                <w:szCs w:val="24"/>
                <w:lang w:eastAsia="zh-CN"/>
              </w:rPr>
              <w:t>上一年度纳税金额（万元）</w:t>
            </w:r>
          </w:p>
        </w:tc>
        <w:tc>
          <w:tcPr>
            <w:tcW w:w="1867" w:type="dxa"/>
            <w:vAlign w:val="center"/>
          </w:tcPr>
          <w:p>
            <w:pPr>
              <w:jc w:val="center"/>
              <w:rPr>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jc w:val="center"/>
              <w:rPr>
                <w:sz w:val="24"/>
                <w:szCs w:val="24"/>
                <w:lang w:eastAsia="zh-CN"/>
              </w:rPr>
            </w:pPr>
            <w:r>
              <w:rPr>
                <w:rFonts w:hint="eastAsia"/>
                <w:sz w:val="24"/>
                <w:szCs w:val="24"/>
                <w:lang w:eastAsia="zh-CN"/>
              </w:rPr>
              <w:t>上一年度研发投入金额（万元）</w:t>
            </w:r>
          </w:p>
        </w:tc>
        <w:tc>
          <w:tcPr>
            <w:tcW w:w="7755" w:type="dxa"/>
            <w:gridSpan w:val="5"/>
            <w:vAlign w:val="center"/>
          </w:tcPr>
          <w:p>
            <w:pPr>
              <w:jc w:val="both"/>
              <w:rPr>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765" w:type="dxa"/>
            <w:gridSpan w:val="6"/>
            <w:vAlign w:val="center"/>
          </w:tcPr>
          <w:p>
            <w:pPr>
              <w:jc w:val="center"/>
              <w:rPr>
                <w:sz w:val="24"/>
                <w:szCs w:val="24"/>
                <w:lang w:eastAsia="zh-CN"/>
              </w:rPr>
            </w:pPr>
            <w:r>
              <w:rPr>
                <w:b/>
                <w:sz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pStyle w:val="17"/>
              <w:spacing w:before="209"/>
              <w:ind w:right="132"/>
              <w:jc w:val="center"/>
              <w:rPr>
                <w:sz w:val="24"/>
                <w:szCs w:val="24"/>
              </w:rPr>
            </w:pPr>
            <w:r>
              <w:rPr>
                <w:rFonts w:hint="eastAsia"/>
                <w:sz w:val="24"/>
                <w:szCs w:val="24"/>
              </w:rPr>
              <w:t>注册地址</w:t>
            </w:r>
          </w:p>
        </w:tc>
        <w:tc>
          <w:tcPr>
            <w:tcW w:w="7755" w:type="dxa"/>
            <w:gridSpan w:val="5"/>
            <w:vAlign w:val="center"/>
          </w:tcPr>
          <w:p>
            <w:pPr>
              <w:pStyle w:val="17"/>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pStyle w:val="17"/>
              <w:spacing w:before="210"/>
              <w:ind w:right="132"/>
              <w:jc w:val="center"/>
              <w:rPr>
                <w:sz w:val="24"/>
                <w:szCs w:val="24"/>
              </w:rPr>
            </w:pPr>
            <w:r>
              <w:rPr>
                <w:rFonts w:hint="eastAsia"/>
                <w:sz w:val="24"/>
                <w:szCs w:val="24"/>
              </w:rPr>
              <w:t>通信地址</w:t>
            </w:r>
          </w:p>
        </w:tc>
        <w:tc>
          <w:tcPr>
            <w:tcW w:w="7755" w:type="dxa"/>
            <w:gridSpan w:val="5"/>
            <w:vAlign w:val="center"/>
          </w:tcPr>
          <w:p>
            <w:pPr>
              <w:pStyle w:val="17"/>
              <w:jc w:val="both"/>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pStyle w:val="17"/>
              <w:spacing w:before="5"/>
              <w:jc w:val="center"/>
              <w:rPr>
                <w:sz w:val="24"/>
                <w:szCs w:val="24"/>
              </w:rPr>
            </w:pPr>
          </w:p>
          <w:p>
            <w:pPr>
              <w:pStyle w:val="17"/>
              <w:ind w:right="132"/>
              <w:jc w:val="center"/>
              <w:rPr>
                <w:sz w:val="24"/>
                <w:szCs w:val="24"/>
              </w:rPr>
            </w:pPr>
            <w:r>
              <w:rPr>
                <w:rFonts w:hint="eastAsia"/>
                <w:sz w:val="24"/>
                <w:szCs w:val="24"/>
              </w:rPr>
              <w:t>注册地所属区</w:t>
            </w:r>
          </w:p>
        </w:tc>
        <w:tc>
          <w:tcPr>
            <w:tcW w:w="7755" w:type="dxa"/>
            <w:gridSpan w:val="5"/>
            <w:vAlign w:val="center"/>
          </w:tcPr>
          <w:p>
            <w:pPr>
              <w:pStyle w:val="17"/>
              <w:ind w:left="106"/>
              <w:jc w:val="both"/>
              <w:rPr>
                <w:sz w:val="24"/>
                <w:szCs w:val="24"/>
                <w:lang w:eastAsia="zh-CN"/>
              </w:rPr>
            </w:pPr>
            <w:r>
              <w:rPr>
                <w:rFonts w:hint="eastAsia"/>
                <w:sz w:val="24"/>
                <w:szCs w:val="24"/>
                <w:lang w:eastAsia="zh-CN"/>
              </w:rPr>
              <w:t>□南湖区、□秀洲区、□嘉善县、□平湖市、□海盐县、□海宁市、</w:t>
            </w:r>
          </w:p>
          <w:p>
            <w:pPr>
              <w:pStyle w:val="17"/>
              <w:spacing w:before="5"/>
              <w:ind w:left="106"/>
              <w:jc w:val="both"/>
              <w:rPr>
                <w:sz w:val="24"/>
                <w:szCs w:val="24"/>
                <w:lang w:eastAsia="zh-CN"/>
              </w:rPr>
            </w:pPr>
            <w:r>
              <w:rPr>
                <w:rFonts w:hint="eastAsia"/>
                <w:sz w:val="24"/>
                <w:szCs w:val="24"/>
                <w:lang w:eastAsia="zh-CN"/>
              </w:rPr>
              <w:t>□桐乡市、□嘉兴经济技术开发区、□嘉兴港区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pStyle w:val="17"/>
              <w:spacing w:before="135"/>
              <w:jc w:val="center"/>
              <w:rPr>
                <w:sz w:val="24"/>
                <w:szCs w:val="24"/>
              </w:rPr>
            </w:pPr>
            <w:r>
              <w:rPr>
                <w:rFonts w:hint="eastAsia"/>
                <w:sz w:val="24"/>
                <w:szCs w:val="24"/>
              </w:rPr>
              <w:t>单位联系人</w:t>
            </w:r>
          </w:p>
        </w:tc>
        <w:tc>
          <w:tcPr>
            <w:tcW w:w="2585" w:type="dxa"/>
            <w:vAlign w:val="center"/>
          </w:tcPr>
          <w:p>
            <w:pPr>
              <w:pStyle w:val="17"/>
              <w:spacing w:before="135"/>
              <w:jc w:val="center"/>
              <w:rPr>
                <w:sz w:val="24"/>
                <w:szCs w:val="24"/>
              </w:rPr>
            </w:pPr>
          </w:p>
        </w:tc>
        <w:tc>
          <w:tcPr>
            <w:tcW w:w="2585" w:type="dxa"/>
            <w:gridSpan w:val="2"/>
            <w:vAlign w:val="center"/>
          </w:tcPr>
          <w:p>
            <w:pPr>
              <w:pStyle w:val="17"/>
              <w:spacing w:before="135"/>
              <w:jc w:val="center"/>
              <w:rPr>
                <w:sz w:val="24"/>
                <w:szCs w:val="24"/>
                <w:lang w:eastAsia="zh-CN"/>
              </w:rPr>
            </w:pPr>
            <w:r>
              <w:rPr>
                <w:rFonts w:hint="eastAsia"/>
                <w:sz w:val="24"/>
                <w:szCs w:val="24"/>
              </w:rPr>
              <w:t>手机号码</w:t>
            </w:r>
          </w:p>
        </w:tc>
        <w:tc>
          <w:tcPr>
            <w:tcW w:w="2585" w:type="dxa"/>
            <w:gridSpan w:val="2"/>
            <w:vAlign w:val="center"/>
          </w:tcPr>
          <w:p>
            <w:pPr>
              <w:pStyle w:val="17"/>
              <w:spacing w:before="135"/>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10" w:type="dxa"/>
            <w:vAlign w:val="center"/>
          </w:tcPr>
          <w:p>
            <w:pPr>
              <w:pStyle w:val="17"/>
              <w:spacing w:before="135"/>
              <w:ind w:right="132"/>
              <w:jc w:val="center"/>
              <w:rPr>
                <w:sz w:val="24"/>
                <w:szCs w:val="24"/>
              </w:rPr>
            </w:pPr>
            <w:r>
              <w:rPr>
                <w:rFonts w:hint="eastAsia"/>
                <w:sz w:val="24"/>
                <w:szCs w:val="24"/>
              </w:rPr>
              <w:t>固定电话</w:t>
            </w:r>
          </w:p>
        </w:tc>
        <w:tc>
          <w:tcPr>
            <w:tcW w:w="2585" w:type="dxa"/>
            <w:vAlign w:val="center"/>
          </w:tcPr>
          <w:p>
            <w:pPr>
              <w:pStyle w:val="17"/>
              <w:jc w:val="both"/>
              <w:rPr>
                <w:sz w:val="24"/>
                <w:szCs w:val="24"/>
              </w:rPr>
            </w:pPr>
          </w:p>
        </w:tc>
        <w:tc>
          <w:tcPr>
            <w:tcW w:w="2585" w:type="dxa"/>
            <w:gridSpan w:val="2"/>
            <w:vAlign w:val="center"/>
          </w:tcPr>
          <w:p>
            <w:pPr>
              <w:pStyle w:val="17"/>
              <w:spacing w:before="135"/>
              <w:jc w:val="center"/>
              <w:rPr>
                <w:sz w:val="24"/>
                <w:szCs w:val="24"/>
              </w:rPr>
            </w:pPr>
            <w:r>
              <w:rPr>
                <w:rFonts w:hint="eastAsia"/>
                <w:sz w:val="24"/>
                <w:szCs w:val="24"/>
              </w:rPr>
              <w:t>电子邮箱</w:t>
            </w:r>
          </w:p>
        </w:tc>
        <w:tc>
          <w:tcPr>
            <w:tcW w:w="2585" w:type="dxa"/>
            <w:gridSpan w:val="2"/>
            <w:vAlign w:val="center"/>
          </w:tcPr>
          <w:p>
            <w:pPr>
              <w:pStyle w:val="17"/>
              <w:jc w:val="both"/>
              <w:rPr>
                <w:sz w:val="24"/>
                <w:szCs w:val="24"/>
              </w:rPr>
            </w:pPr>
          </w:p>
        </w:tc>
      </w:tr>
    </w:tbl>
    <w:p>
      <w:pPr>
        <w:widowControl/>
        <w:autoSpaceDE/>
        <w:autoSpaceDN/>
        <w:rPr>
          <w:sz w:val="24"/>
          <w:lang w:eastAsia="zh-CN"/>
        </w:rPr>
      </w:pPr>
    </w:p>
    <w:p>
      <w:pPr>
        <w:pStyle w:val="5"/>
        <w:spacing w:before="4"/>
        <w:ind w:left="0"/>
        <w:rPr>
          <w:rFonts w:ascii="方正小标宋简体"/>
          <w:sz w:val="28"/>
          <w:lang w:eastAsia="zh-CN"/>
        </w:rPr>
        <w:sectPr>
          <w:footerReference r:id="rId4" w:type="default"/>
          <w:pgSz w:w="11910" w:h="16840"/>
          <w:pgMar w:top="1440" w:right="1080" w:bottom="1440" w:left="1080" w:header="0" w:footer="1035" w:gutter="0"/>
          <w:cols w:space="720" w:num="1"/>
        </w:sectPr>
      </w:pPr>
    </w:p>
    <w:tbl>
      <w:tblPr>
        <w:tblStyle w:val="10"/>
        <w:tblW w:w="9765" w:type="dxa"/>
        <w:tblInd w:w="-34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27"/>
        <w:gridCol w:w="780"/>
        <w:gridCol w:w="848"/>
        <w:gridCol w:w="853"/>
        <w:gridCol w:w="774"/>
        <w:gridCol w:w="95"/>
        <w:gridCol w:w="974"/>
        <w:gridCol w:w="559"/>
        <w:gridCol w:w="1227"/>
        <w:gridCol w:w="400"/>
        <w:gridCol w:w="16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9765" w:type="dxa"/>
            <w:gridSpan w:val="11"/>
            <w:vAlign w:val="center"/>
          </w:tcPr>
          <w:p>
            <w:pPr>
              <w:pStyle w:val="17"/>
              <w:spacing w:before="210"/>
              <w:ind w:left="3223" w:right="3211"/>
              <w:jc w:val="center"/>
              <w:rPr>
                <w:b/>
                <w:sz w:val="24"/>
                <w:szCs w:val="24"/>
              </w:rPr>
            </w:pPr>
            <w:r>
              <w:rPr>
                <w:rFonts w:hint="eastAsia"/>
                <w:b/>
                <w:sz w:val="24"/>
                <w:szCs w:val="24"/>
              </w:rPr>
              <w:t>知识产权工作基础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2407" w:type="dxa"/>
            <w:gridSpan w:val="2"/>
            <w:vAlign w:val="center"/>
          </w:tcPr>
          <w:p>
            <w:pPr>
              <w:pStyle w:val="17"/>
              <w:spacing w:before="209"/>
              <w:ind w:right="132"/>
              <w:jc w:val="center"/>
              <w:rPr>
                <w:sz w:val="24"/>
                <w:szCs w:val="24"/>
              </w:rPr>
            </w:pPr>
            <w:r>
              <w:rPr>
                <w:rFonts w:hint="eastAsia"/>
                <w:sz w:val="24"/>
                <w:szCs w:val="24"/>
              </w:rPr>
              <w:t>内部知识产权部门</w:t>
            </w:r>
          </w:p>
        </w:tc>
        <w:tc>
          <w:tcPr>
            <w:tcW w:w="2570" w:type="dxa"/>
            <w:gridSpan w:val="4"/>
            <w:vAlign w:val="center"/>
          </w:tcPr>
          <w:p>
            <w:pPr>
              <w:pStyle w:val="17"/>
              <w:jc w:val="center"/>
              <w:rPr>
                <w:sz w:val="24"/>
                <w:szCs w:val="24"/>
              </w:rPr>
            </w:pPr>
          </w:p>
        </w:tc>
        <w:tc>
          <w:tcPr>
            <w:tcW w:w="2760" w:type="dxa"/>
            <w:gridSpan w:val="3"/>
            <w:vAlign w:val="center"/>
          </w:tcPr>
          <w:p>
            <w:pPr>
              <w:pStyle w:val="17"/>
              <w:spacing w:before="209"/>
              <w:jc w:val="center"/>
              <w:rPr>
                <w:sz w:val="24"/>
                <w:szCs w:val="24"/>
              </w:rPr>
            </w:pPr>
            <w:r>
              <w:rPr>
                <w:rFonts w:hint="eastAsia"/>
                <w:sz w:val="24"/>
                <w:szCs w:val="24"/>
              </w:rPr>
              <w:t>知识产权人员数量</w:t>
            </w:r>
          </w:p>
        </w:tc>
        <w:tc>
          <w:tcPr>
            <w:tcW w:w="2028" w:type="dxa"/>
            <w:gridSpan w:val="2"/>
            <w:vAlign w:val="center"/>
          </w:tcPr>
          <w:p>
            <w:pPr>
              <w:pStyle w:val="17"/>
              <w:jc w:val="center"/>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2407" w:type="dxa"/>
            <w:gridSpan w:val="2"/>
            <w:vAlign w:val="center"/>
          </w:tcPr>
          <w:p>
            <w:pPr>
              <w:pStyle w:val="17"/>
              <w:spacing w:before="210"/>
              <w:ind w:right="132"/>
              <w:jc w:val="center"/>
              <w:rPr>
                <w:sz w:val="24"/>
                <w:szCs w:val="24"/>
              </w:rPr>
            </w:pPr>
            <w:r>
              <w:rPr>
                <w:rFonts w:hint="eastAsia"/>
                <w:sz w:val="24"/>
                <w:szCs w:val="24"/>
              </w:rPr>
              <w:t>知识产权负责人姓名</w:t>
            </w:r>
          </w:p>
        </w:tc>
        <w:tc>
          <w:tcPr>
            <w:tcW w:w="2570" w:type="dxa"/>
            <w:gridSpan w:val="4"/>
            <w:vAlign w:val="center"/>
          </w:tcPr>
          <w:p>
            <w:pPr>
              <w:pStyle w:val="17"/>
              <w:jc w:val="center"/>
              <w:rPr>
                <w:sz w:val="24"/>
                <w:szCs w:val="24"/>
              </w:rPr>
            </w:pPr>
          </w:p>
        </w:tc>
        <w:tc>
          <w:tcPr>
            <w:tcW w:w="2760" w:type="dxa"/>
            <w:gridSpan w:val="3"/>
            <w:vAlign w:val="center"/>
          </w:tcPr>
          <w:p>
            <w:pPr>
              <w:pStyle w:val="17"/>
              <w:spacing w:before="210"/>
              <w:jc w:val="center"/>
              <w:rPr>
                <w:sz w:val="24"/>
                <w:szCs w:val="24"/>
              </w:rPr>
            </w:pPr>
            <w:r>
              <w:rPr>
                <w:rFonts w:hint="eastAsia"/>
                <w:sz w:val="24"/>
                <w:szCs w:val="24"/>
              </w:rPr>
              <w:t>知识产权负责人电话</w:t>
            </w:r>
          </w:p>
        </w:tc>
        <w:tc>
          <w:tcPr>
            <w:tcW w:w="2028" w:type="dxa"/>
            <w:gridSpan w:val="2"/>
            <w:vAlign w:val="center"/>
          </w:tcPr>
          <w:p>
            <w:pPr>
              <w:pStyle w:val="17"/>
              <w:jc w:val="center"/>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2407" w:type="dxa"/>
            <w:gridSpan w:val="2"/>
            <w:vMerge w:val="restart"/>
            <w:tcBorders>
              <w:bottom w:val="single" w:color="000000" w:sz="4" w:space="0"/>
            </w:tcBorders>
            <w:vAlign w:val="center"/>
          </w:tcPr>
          <w:p>
            <w:pPr>
              <w:pStyle w:val="17"/>
              <w:jc w:val="center"/>
              <w:rPr>
                <w:sz w:val="24"/>
                <w:szCs w:val="24"/>
              </w:rPr>
            </w:pPr>
            <w:r>
              <w:rPr>
                <w:rFonts w:hint="eastAsia"/>
                <w:sz w:val="24"/>
                <w:szCs w:val="24"/>
              </w:rPr>
              <w:t>有效专利数量（件）</w:t>
            </w:r>
          </w:p>
        </w:tc>
        <w:tc>
          <w:tcPr>
            <w:tcW w:w="2570" w:type="dxa"/>
            <w:gridSpan w:val="4"/>
            <w:tcBorders>
              <w:bottom w:val="single" w:color="000000" w:sz="4" w:space="0"/>
              <w:right w:val="single" w:color="000000" w:sz="4" w:space="0"/>
            </w:tcBorders>
            <w:vAlign w:val="center"/>
          </w:tcPr>
          <w:p>
            <w:pPr>
              <w:pStyle w:val="17"/>
              <w:spacing w:before="135"/>
              <w:jc w:val="center"/>
              <w:rPr>
                <w:sz w:val="24"/>
                <w:szCs w:val="24"/>
              </w:rPr>
            </w:pPr>
            <w:r>
              <w:rPr>
                <w:rFonts w:hint="eastAsia"/>
                <w:sz w:val="24"/>
                <w:szCs w:val="24"/>
              </w:rPr>
              <w:t>发明</w:t>
            </w:r>
          </w:p>
        </w:tc>
        <w:tc>
          <w:tcPr>
            <w:tcW w:w="2760" w:type="dxa"/>
            <w:gridSpan w:val="3"/>
            <w:tcBorders>
              <w:left w:val="single" w:color="000000" w:sz="4" w:space="0"/>
              <w:bottom w:val="single" w:color="000000" w:sz="4" w:space="0"/>
              <w:right w:val="single" w:color="000000" w:sz="4" w:space="0"/>
            </w:tcBorders>
            <w:vAlign w:val="center"/>
          </w:tcPr>
          <w:p>
            <w:pPr>
              <w:pStyle w:val="17"/>
              <w:spacing w:before="135"/>
              <w:jc w:val="center"/>
              <w:rPr>
                <w:sz w:val="24"/>
                <w:szCs w:val="24"/>
              </w:rPr>
            </w:pPr>
            <w:r>
              <w:rPr>
                <w:rFonts w:hint="eastAsia"/>
                <w:sz w:val="24"/>
                <w:szCs w:val="24"/>
              </w:rPr>
              <w:t>实用新型</w:t>
            </w:r>
          </w:p>
        </w:tc>
        <w:tc>
          <w:tcPr>
            <w:tcW w:w="2028" w:type="dxa"/>
            <w:gridSpan w:val="2"/>
            <w:tcBorders>
              <w:left w:val="single" w:color="000000" w:sz="4" w:space="0"/>
              <w:bottom w:val="single" w:color="000000" w:sz="4" w:space="0"/>
            </w:tcBorders>
            <w:vAlign w:val="center"/>
          </w:tcPr>
          <w:p>
            <w:pPr>
              <w:pStyle w:val="17"/>
              <w:spacing w:before="208"/>
              <w:jc w:val="center"/>
              <w:rPr>
                <w:sz w:val="24"/>
                <w:szCs w:val="24"/>
              </w:rPr>
            </w:pPr>
            <w:r>
              <w:rPr>
                <w:rFonts w:hint="eastAsia"/>
                <w:sz w:val="24"/>
                <w:szCs w:val="24"/>
              </w:rPr>
              <w:t>外观设计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2407" w:type="dxa"/>
            <w:gridSpan w:val="2"/>
            <w:vMerge w:val="continue"/>
            <w:tcBorders>
              <w:top w:val="nil"/>
              <w:bottom w:val="single" w:color="000000" w:sz="4" w:space="0"/>
            </w:tcBorders>
            <w:vAlign w:val="center"/>
          </w:tcPr>
          <w:p>
            <w:pPr>
              <w:rPr>
                <w:sz w:val="24"/>
                <w:szCs w:val="24"/>
              </w:rPr>
            </w:pPr>
          </w:p>
        </w:tc>
        <w:tc>
          <w:tcPr>
            <w:tcW w:w="2570" w:type="dxa"/>
            <w:gridSpan w:val="4"/>
            <w:tcBorders>
              <w:top w:val="single" w:color="000000" w:sz="4" w:space="0"/>
              <w:bottom w:val="single" w:color="000000" w:sz="4" w:space="0"/>
              <w:right w:val="single" w:color="000000" w:sz="4" w:space="0"/>
            </w:tcBorders>
            <w:vAlign w:val="center"/>
          </w:tcPr>
          <w:p>
            <w:pPr>
              <w:pStyle w:val="17"/>
              <w:spacing w:before="135"/>
              <w:jc w:val="center"/>
              <w:rPr>
                <w:sz w:val="24"/>
                <w:szCs w:val="24"/>
              </w:rPr>
            </w:pPr>
          </w:p>
        </w:tc>
        <w:tc>
          <w:tcPr>
            <w:tcW w:w="2760" w:type="dxa"/>
            <w:gridSpan w:val="3"/>
            <w:tcBorders>
              <w:top w:val="single" w:color="000000" w:sz="4" w:space="0"/>
              <w:left w:val="single" w:color="000000" w:sz="4" w:space="0"/>
              <w:bottom w:val="single" w:color="000000" w:sz="4" w:space="0"/>
              <w:right w:val="single" w:color="000000" w:sz="4" w:space="0"/>
            </w:tcBorders>
            <w:vAlign w:val="center"/>
          </w:tcPr>
          <w:p>
            <w:pPr>
              <w:pStyle w:val="17"/>
              <w:spacing w:before="135"/>
              <w:jc w:val="center"/>
              <w:rPr>
                <w:sz w:val="24"/>
                <w:szCs w:val="24"/>
              </w:rPr>
            </w:pPr>
          </w:p>
        </w:tc>
        <w:tc>
          <w:tcPr>
            <w:tcW w:w="2028" w:type="dxa"/>
            <w:gridSpan w:val="2"/>
            <w:tcBorders>
              <w:top w:val="single" w:color="000000" w:sz="4" w:space="0"/>
              <w:left w:val="single" w:color="000000" w:sz="4" w:space="0"/>
              <w:bottom w:val="single" w:color="000000" w:sz="4" w:space="0"/>
            </w:tcBorders>
            <w:vAlign w:val="center"/>
          </w:tcPr>
          <w:p>
            <w:pPr>
              <w:pStyle w:val="17"/>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7737" w:type="dxa"/>
            <w:gridSpan w:val="9"/>
            <w:tcBorders>
              <w:top w:val="single" w:color="000000" w:sz="4" w:space="0"/>
              <w:right w:val="single" w:color="000000" w:sz="4" w:space="0"/>
            </w:tcBorders>
            <w:vAlign w:val="center"/>
          </w:tcPr>
          <w:p>
            <w:pPr>
              <w:pStyle w:val="17"/>
              <w:spacing w:before="208"/>
              <w:ind w:left="808"/>
              <w:rPr>
                <w:sz w:val="24"/>
                <w:szCs w:val="24"/>
                <w:lang w:eastAsia="zh-CN"/>
              </w:rPr>
            </w:pPr>
            <w:r>
              <w:rPr>
                <w:rFonts w:hint="eastAsia"/>
                <w:sz w:val="24"/>
                <w:szCs w:val="24"/>
                <w:lang w:eastAsia="zh-CN"/>
              </w:rPr>
              <w:t>提供一件作为第一申请人申请的有效发明专利授权公告号</w:t>
            </w:r>
          </w:p>
        </w:tc>
        <w:tc>
          <w:tcPr>
            <w:tcW w:w="2028" w:type="dxa"/>
            <w:gridSpan w:val="2"/>
            <w:tcBorders>
              <w:top w:val="single" w:color="000000" w:sz="4" w:space="0"/>
              <w:left w:val="single" w:color="000000" w:sz="4" w:space="0"/>
              <w:bottom w:val="single" w:color="000000" w:sz="4" w:space="0"/>
            </w:tcBorders>
            <w:vAlign w:val="center"/>
          </w:tcPr>
          <w:p>
            <w:pPr>
              <w:pStyle w:val="17"/>
              <w:rPr>
                <w:sz w:val="24"/>
                <w:szCs w:val="24"/>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2407" w:type="dxa"/>
            <w:gridSpan w:val="2"/>
            <w:vMerge w:val="restart"/>
            <w:tcBorders>
              <w:right w:val="single" w:color="000000" w:sz="4" w:space="0"/>
            </w:tcBorders>
            <w:vAlign w:val="center"/>
          </w:tcPr>
          <w:p>
            <w:pPr>
              <w:pStyle w:val="17"/>
              <w:jc w:val="center"/>
              <w:rPr>
                <w:sz w:val="24"/>
                <w:szCs w:val="24"/>
              </w:rPr>
            </w:pPr>
            <w:r>
              <w:rPr>
                <w:rFonts w:hint="eastAsia"/>
                <w:sz w:val="24"/>
                <w:szCs w:val="24"/>
              </w:rPr>
              <w:t>获奖情况</w:t>
            </w:r>
          </w:p>
        </w:tc>
        <w:tc>
          <w:tcPr>
            <w:tcW w:w="1701" w:type="dxa"/>
            <w:gridSpan w:val="2"/>
            <w:tcBorders>
              <w:left w:val="single" w:color="000000" w:sz="4" w:space="0"/>
              <w:right w:val="single" w:color="000000" w:sz="4" w:space="0"/>
            </w:tcBorders>
            <w:vAlign w:val="center"/>
          </w:tcPr>
          <w:p>
            <w:pPr>
              <w:pStyle w:val="17"/>
              <w:jc w:val="center"/>
              <w:rPr>
                <w:sz w:val="24"/>
                <w:szCs w:val="24"/>
              </w:rPr>
            </w:pPr>
            <w:r>
              <w:rPr>
                <w:rFonts w:hint="eastAsia"/>
                <w:sz w:val="24"/>
                <w:szCs w:val="24"/>
              </w:rPr>
              <w:t>中国专利奖</w:t>
            </w:r>
          </w:p>
        </w:tc>
        <w:tc>
          <w:tcPr>
            <w:tcW w:w="1843" w:type="dxa"/>
            <w:gridSpan w:val="3"/>
            <w:tcBorders>
              <w:left w:val="single" w:color="000000" w:sz="4" w:space="0"/>
              <w:right w:val="single" w:color="000000" w:sz="4" w:space="0"/>
            </w:tcBorders>
            <w:vAlign w:val="center"/>
          </w:tcPr>
          <w:p>
            <w:pPr>
              <w:pStyle w:val="17"/>
              <w:ind w:left="714"/>
              <w:jc w:val="right"/>
              <w:rPr>
                <w:sz w:val="24"/>
                <w:szCs w:val="24"/>
              </w:rPr>
            </w:pPr>
            <w:r>
              <w:rPr>
                <w:rFonts w:hint="eastAsia"/>
                <w:sz w:val="24"/>
                <w:szCs w:val="24"/>
              </w:rPr>
              <w:t>（项）</w:t>
            </w:r>
          </w:p>
        </w:tc>
        <w:tc>
          <w:tcPr>
            <w:tcW w:w="1786" w:type="dxa"/>
            <w:gridSpan w:val="2"/>
            <w:tcBorders>
              <w:left w:val="single" w:color="000000" w:sz="4" w:space="0"/>
              <w:bottom w:val="single" w:color="000000" w:sz="4" w:space="0"/>
              <w:right w:val="single" w:color="000000" w:sz="4" w:space="0"/>
            </w:tcBorders>
            <w:vAlign w:val="center"/>
          </w:tcPr>
          <w:p>
            <w:pPr>
              <w:pStyle w:val="17"/>
              <w:spacing w:line="189" w:lineRule="auto"/>
              <w:ind w:left="371" w:right="116" w:hanging="240"/>
              <w:rPr>
                <w:sz w:val="24"/>
                <w:szCs w:val="24"/>
              </w:rPr>
            </w:pPr>
            <w:r>
              <w:rPr>
                <w:rFonts w:hint="eastAsia"/>
                <w:sz w:val="24"/>
                <w:szCs w:val="24"/>
              </w:rPr>
              <w:t>省知识产权奖</w:t>
            </w:r>
          </w:p>
        </w:tc>
        <w:tc>
          <w:tcPr>
            <w:tcW w:w="2028" w:type="dxa"/>
            <w:gridSpan w:val="2"/>
            <w:tcBorders>
              <w:top w:val="single" w:color="000000" w:sz="4" w:space="0"/>
              <w:left w:val="single" w:color="000000" w:sz="4" w:space="0"/>
              <w:bottom w:val="single" w:color="000000" w:sz="4" w:space="0"/>
            </w:tcBorders>
            <w:vAlign w:val="center"/>
          </w:tcPr>
          <w:p>
            <w:pPr>
              <w:pStyle w:val="17"/>
              <w:jc w:val="right"/>
              <w:rPr>
                <w:sz w:val="24"/>
                <w:szCs w:val="24"/>
              </w:rPr>
            </w:pPr>
            <w:r>
              <w:rPr>
                <w:rFonts w:hint="eastAsia"/>
                <w:sz w:val="24"/>
                <w:szCs w:val="24"/>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2407" w:type="dxa"/>
            <w:gridSpan w:val="2"/>
            <w:vMerge w:val="continue"/>
            <w:tcBorders>
              <w:bottom w:val="single" w:color="auto" w:sz="4" w:space="0"/>
              <w:right w:val="single" w:color="000000" w:sz="4" w:space="0"/>
            </w:tcBorders>
            <w:vAlign w:val="center"/>
          </w:tcPr>
          <w:p>
            <w:pPr>
              <w:jc w:val="center"/>
              <w:rPr>
                <w:sz w:val="24"/>
                <w:szCs w:val="24"/>
              </w:rPr>
            </w:pPr>
          </w:p>
        </w:tc>
        <w:tc>
          <w:tcPr>
            <w:tcW w:w="1701" w:type="dxa"/>
            <w:gridSpan w:val="2"/>
            <w:tcBorders>
              <w:left w:val="single" w:color="000000" w:sz="4" w:space="0"/>
              <w:right w:val="single" w:color="000000" w:sz="4" w:space="0"/>
            </w:tcBorders>
            <w:vAlign w:val="center"/>
          </w:tcPr>
          <w:p>
            <w:pPr>
              <w:pStyle w:val="17"/>
              <w:spacing w:before="209"/>
              <w:jc w:val="center"/>
              <w:rPr>
                <w:sz w:val="24"/>
                <w:szCs w:val="24"/>
              </w:rPr>
            </w:pPr>
            <w:r>
              <w:rPr>
                <w:rFonts w:hint="eastAsia"/>
                <w:sz w:val="24"/>
                <w:szCs w:val="24"/>
              </w:rPr>
              <w:t>科技进步项</w:t>
            </w:r>
          </w:p>
        </w:tc>
        <w:tc>
          <w:tcPr>
            <w:tcW w:w="5657" w:type="dxa"/>
            <w:gridSpan w:val="7"/>
            <w:tcBorders>
              <w:left w:val="single" w:color="000000" w:sz="4" w:space="0"/>
            </w:tcBorders>
            <w:vAlign w:val="center"/>
          </w:tcPr>
          <w:p>
            <w:pPr>
              <w:pStyle w:val="17"/>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9765" w:type="dxa"/>
            <w:gridSpan w:val="11"/>
            <w:tcBorders>
              <w:top w:val="single" w:color="auto" w:sz="4" w:space="0"/>
              <w:left w:val="single" w:color="auto" w:sz="4" w:space="0"/>
              <w:bottom w:val="single" w:color="auto" w:sz="4" w:space="0"/>
            </w:tcBorders>
            <w:vAlign w:val="center"/>
          </w:tcPr>
          <w:p>
            <w:pPr>
              <w:pStyle w:val="17"/>
              <w:jc w:val="center"/>
              <w:rPr>
                <w:sz w:val="24"/>
                <w:szCs w:val="24"/>
              </w:rPr>
            </w:pPr>
            <w:r>
              <w:rPr>
                <w:rFonts w:hint="eastAsia"/>
                <w:b/>
                <w:sz w:val="24"/>
                <w:szCs w:val="24"/>
              </w:rPr>
              <w:t>其他信息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8" w:hRule="atLeast"/>
        </w:trPr>
        <w:tc>
          <w:tcPr>
            <w:tcW w:w="1627" w:type="dxa"/>
            <w:vMerge w:val="restart"/>
            <w:tcBorders>
              <w:top w:val="single" w:color="auto" w:sz="4" w:space="0"/>
              <w:left w:val="single" w:color="auto" w:sz="4" w:space="0"/>
            </w:tcBorders>
            <w:vAlign w:val="center"/>
          </w:tcPr>
          <w:p>
            <w:pPr>
              <w:pStyle w:val="17"/>
              <w:spacing w:before="210"/>
              <w:ind w:right="132"/>
              <w:jc w:val="center"/>
              <w:rPr>
                <w:sz w:val="24"/>
                <w:szCs w:val="24"/>
              </w:rPr>
            </w:pPr>
            <w:r>
              <w:rPr>
                <w:rFonts w:hint="eastAsia"/>
                <w:sz w:val="24"/>
                <w:szCs w:val="24"/>
              </w:rPr>
              <w:t>知识产权运用</w:t>
            </w:r>
          </w:p>
        </w:tc>
        <w:tc>
          <w:tcPr>
            <w:tcW w:w="1628" w:type="dxa"/>
            <w:gridSpan w:val="2"/>
            <w:vMerge w:val="restart"/>
            <w:tcBorders>
              <w:top w:val="single" w:color="auto" w:sz="4" w:space="0"/>
              <w:left w:val="single" w:color="auto" w:sz="4" w:space="0"/>
            </w:tcBorders>
            <w:vAlign w:val="center"/>
          </w:tcPr>
          <w:p>
            <w:pPr>
              <w:pStyle w:val="17"/>
              <w:ind w:left="106"/>
              <w:jc w:val="right"/>
              <w:rPr>
                <w:sz w:val="24"/>
                <w:szCs w:val="24"/>
                <w:lang w:eastAsia="zh-CN"/>
              </w:rPr>
            </w:pPr>
            <w:r>
              <w:rPr>
                <w:rFonts w:hint="eastAsia"/>
                <w:sz w:val="24"/>
                <w:szCs w:val="24"/>
              </w:rPr>
              <w:t>转化实施数量（件）</w:t>
            </w:r>
          </w:p>
        </w:tc>
        <w:tc>
          <w:tcPr>
            <w:tcW w:w="1627" w:type="dxa"/>
            <w:gridSpan w:val="2"/>
            <w:vMerge w:val="restart"/>
            <w:tcBorders>
              <w:top w:val="single" w:color="auto" w:sz="4" w:space="0"/>
              <w:left w:val="single" w:color="auto" w:sz="4" w:space="0"/>
            </w:tcBorders>
            <w:vAlign w:val="center"/>
          </w:tcPr>
          <w:p>
            <w:pPr>
              <w:pStyle w:val="17"/>
              <w:spacing w:before="166"/>
              <w:ind w:left="291"/>
              <w:jc w:val="center"/>
              <w:rPr>
                <w:sz w:val="24"/>
                <w:szCs w:val="24"/>
              </w:rPr>
            </w:pPr>
            <w:r>
              <w:rPr>
                <w:rFonts w:hint="eastAsia"/>
                <w:sz w:val="24"/>
                <w:szCs w:val="24"/>
              </w:rPr>
              <w:t>许可数量</w:t>
            </w:r>
          </w:p>
          <w:p>
            <w:pPr>
              <w:pStyle w:val="17"/>
              <w:spacing w:before="4"/>
              <w:ind w:left="411"/>
              <w:jc w:val="center"/>
              <w:rPr>
                <w:sz w:val="24"/>
                <w:szCs w:val="24"/>
                <w:lang w:eastAsia="zh-CN"/>
              </w:rPr>
            </w:pPr>
            <w:r>
              <w:rPr>
                <w:rFonts w:hint="eastAsia"/>
                <w:sz w:val="24"/>
                <w:szCs w:val="24"/>
              </w:rPr>
              <w:t>（件）</w:t>
            </w:r>
          </w:p>
        </w:tc>
        <w:tc>
          <w:tcPr>
            <w:tcW w:w="1628" w:type="dxa"/>
            <w:gridSpan w:val="3"/>
            <w:vMerge w:val="restart"/>
            <w:tcBorders>
              <w:top w:val="single" w:color="auto" w:sz="4" w:space="0"/>
              <w:left w:val="single" w:color="auto" w:sz="4" w:space="0"/>
            </w:tcBorders>
            <w:vAlign w:val="center"/>
          </w:tcPr>
          <w:p>
            <w:pPr>
              <w:pStyle w:val="17"/>
              <w:spacing w:before="166"/>
              <w:ind w:left="131"/>
              <w:jc w:val="center"/>
              <w:rPr>
                <w:sz w:val="24"/>
                <w:szCs w:val="24"/>
              </w:rPr>
            </w:pPr>
            <w:r>
              <w:rPr>
                <w:rFonts w:hint="eastAsia"/>
                <w:sz w:val="24"/>
                <w:szCs w:val="24"/>
              </w:rPr>
              <w:t>转让数量</w:t>
            </w:r>
          </w:p>
          <w:p>
            <w:pPr>
              <w:pStyle w:val="17"/>
              <w:spacing w:before="4"/>
              <w:ind w:left="251"/>
              <w:jc w:val="center"/>
              <w:rPr>
                <w:sz w:val="24"/>
                <w:szCs w:val="24"/>
                <w:lang w:eastAsia="zh-CN"/>
              </w:rPr>
            </w:pPr>
            <w:r>
              <w:rPr>
                <w:rFonts w:hint="eastAsia"/>
                <w:sz w:val="24"/>
                <w:szCs w:val="24"/>
              </w:rPr>
              <w:t>（件）</w:t>
            </w:r>
          </w:p>
        </w:tc>
        <w:tc>
          <w:tcPr>
            <w:tcW w:w="3255" w:type="dxa"/>
            <w:gridSpan w:val="3"/>
            <w:tcBorders>
              <w:top w:val="single" w:color="auto" w:sz="4" w:space="0"/>
              <w:left w:val="single" w:color="auto" w:sz="4" w:space="0"/>
            </w:tcBorders>
            <w:vAlign w:val="center"/>
          </w:tcPr>
          <w:p>
            <w:pPr>
              <w:pStyle w:val="17"/>
              <w:spacing w:before="209"/>
              <w:jc w:val="center"/>
              <w:rPr>
                <w:sz w:val="24"/>
                <w:szCs w:val="24"/>
              </w:rPr>
            </w:pPr>
            <w:r>
              <w:rPr>
                <w:rFonts w:hint="eastAsia"/>
                <w:sz w:val="24"/>
                <w:szCs w:val="24"/>
              </w:rPr>
              <w:t>质押融资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627" w:type="dxa"/>
            <w:vMerge w:val="continue"/>
            <w:tcBorders>
              <w:left w:val="single" w:color="auto" w:sz="4" w:space="0"/>
            </w:tcBorders>
          </w:tcPr>
          <w:p>
            <w:pPr>
              <w:pStyle w:val="17"/>
              <w:rPr>
                <w:sz w:val="24"/>
                <w:szCs w:val="24"/>
              </w:rPr>
            </w:pPr>
          </w:p>
        </w:tc>
        <w:tc>
          <w:tcPr>
            <w:tcW w:w="1628" w:type="dxa"/>
            <w:gridSpan w:val="2"/>
            <w:vMerge w:val="continue"/>
            <w:tcBorders>
              <w:left w:val="single" w:color="auto" w:sz="4" w:space="0"/>
            </w:tcBorders>
          </w:tcPr>
          <w:p>
            <w:pPr>
              <w:pStyle w:val="17"/>
              <w:rPr>
                <w:sz w:val="24"/>
                <w:szCs w:val="24"/>
              </w:rPr>
            </w:pPr>
          </w:p>
        </w:tc>
        <w:tc>
          <w:tcPr>
            <w:tcW w:w="1627" w:type="dxa"/>
            <w:gridSpan w:val="2"/>
            <w:vMerge w:val="continue"/>
            <w:tcBorders>
              <w:left w:val="single" w:color="auto" w:sz="4" w:space="0"/>
            </w:tcBorders>
          </w:tcPr>
          <w:p>
            <w:pPr>
              <w:pStyle w:val="17"/>
              <w:rPr>
                <w:sz w:val="24"/>
                <w:szCs w:val="24"/>
              </w:rPr>
            </w:pPr>
          </w:p>
        </w:tc>
        <w:tc>
          <w:tcPr>
            <w:tcW w:w="1628" w:type="dxa"/>
            <w:gridSpan w:val="3"/>
            <w:vMerge w:val="continue"/>
            <w:tcBorders>
              <w:left w:val="single" w:color="auto" w:sz="4" w:space="0"/>
            </w:tcBorders>
          </w:tcPr>
          <w:p>
            <w:pPr>
              <w:pStyle w:val="17"/>
              <w:rPr>
                <w:sz w:val="24"/>
                <w:szCs w:val="24"/>
              </w:rPr>
            </w:pPr>
          </w:p>
        </w:tc>
        <w:tc>
          <w:tcPr>
            <w:tcW w:w="1627" w:type="dxa"/>
            <w:gridSpan w:val="2"/>
            <w:tcBorders>
              <w:top w:val="single" w:color="auto" w:sz="4" w:space="0"/>
              <w:left w:val="single" w:color="auto" w:sz="4" w:space="0"/>
            </w:tcBorders>
            <w:vAlign w:val="center"/>
          </w:tcPr>
          <w:p>
            <w:pPr>
              <w:pStyle w:val="17"/>
              <w:spacing w:before="4"/>
              <w:ind w:left="239"/>
              <w:jc w:val="center"/>
              <w:rPr>
                <w:sz w:val="24"/>
                <w:szCs w:val="24"/>
              </w:rPr>
            </w:pPr>
            <w:r>
              <w:rPr>
                <w:rFonts w:hint="eastAsia"/>
                <w:sz w:val="24"/>
                <w:szCs w:val="24"/>
              </w:rPr>
              <w:t>数量</w:t>
            </w:r>
          </w:p>
          <w:p>
            <w:pPr>
              <w:pStyle w:val="17"/>
              <w:jc w:val="center"/>
              <w:rPr>
                <w:sz w:val="24"/>
                <w:szCs w:val="24"/>
              </w:rPr>
            </w:pPr>
            <w:r>
              <w:rPr>
                <w:rFonts w:hint="eastAsia"/>
                <w:sz w:val="24"/>
                <w:szCs w:val="24"/>
              </w:rPr>
              <w:t>（件）</w:t>
            </w:r>
          </w:p>
        </w:tc>
        <w:tc>
          <w:tcPr>
            <w:tcW w:w="1628" w:type="dxa"/>
            <w:tcBorders>
              <w:top w:val="single" w:color="auto" w:sz="4" w:space="0"/>
              <w:left w:val="single" w:color="auto" w:sz="4" w:space="0"/>
            </w:tcBorders>
            <w:vAlign w:val="center"/>
          </w:tcPr>
          <w:p>
            <w:pPr>
              <w:pStyle w:val="17"/>
              <w:spacing w:before="4"/>
              <w:ind w:left="169"/>
              <w:jc w:val="center"/>
              <w:rPr>
                <w:sz w:val="24"/>
                <w:szCs w:val="24"/>
              </w:rPr>
            </w:pPr>
            <w:r>
              <w:rPr>
                <w:rFonts w:hint="eastAsia"/>
                <w:sz w:val="24"/>
                <w:szCs w:val="24"/>
              </w:rPr>
              <w:t>融资金额</w:t>
            </w:r>
          </w:p>
          <w:p>
            <w:pPr>
              <w:pStyle w:val="17"/>
              <w:jc w:val="center"/>
              <w:rPr>
                <w:sz w:val="24"/>
                <w:szCs w:val="24"/>
              </w:rPr>
            </w:pPr>
            <w:r>
              <w:rPr>
                <w:rFonts w:hint="eastAsia"/>
                <w:sz w:val="24"/>
                <w:szCs w:val="24"/>
              </w:rPr>
              <w:t>（万元）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4" w:hRule="atLeast"/>
        </w:trPr>
        <w:tc>
          <w:tcPr>
            <w:tcW w:w="1627" w:type="dxa"/>
            <w:vMerge w:val="continue"/>
            <w:tcBorders>
              <w:left w:val="single" w:color="auto" w:sz="4" w:space="0"/>
            </w:tcBorders>
          </w:tcPr>
          <w:p>
            <w:pPr>
              <w:pStyle w:val="17"/>
              <w:rPr>
                <w:sz w:val="24"/>
                <w:szCs w:val="24"/>
              </w:rPr>
            </w:pPr>
          </w:p>
        </w:tc>
        <w:tc>
          <w:tcPr>
            <w:tcW w:w="1628" w:type="dxa"/>
            <w:gridSpan w:val="2"/>
            <w:tcBorders>
              <w:top w:val="single" w:color="auto" w:sz="4" w:space="0"/>
              <w:left w:val="single" w:color="auto" w:sz="4" w:space="0"/>
            </w:tcBorders>
            <w:vAlign w:val="center"/>
          </w:tcPr>
          <w:p>
            <w:pPr>
              <w:pStyle w:val="17"/>
              <w:rPr>
                <w:sz w:val="24"/>
                <w:szCs w:val="24"/>
              </w:rPr>
            </w:pPr>
          </w:p>
        </w:tc>
        <w:tc>
          <w:tcPr>
            <w:tcW w:w="1627" w:type="dxa"/>
            <w:gridSpan w:val="2"/>
            <w:tcBorders>
              <w:top w:val="single" w:color="auto" w:sz="4" w:space="0"/>
              <w:left w:val="single" w:color="auto" w:sz="4" w:space="0"/>
            </w:tcBorders>
            <w:vAlign w:val="center"/>
          </w:tcPr>
          <w:p>
            <w:pPr>
              <w:pStyle w:val="17"/>
              <w:rPr>
                <w:sz w:val="24"/>
                <w:szCs w:val="24"/>
              </w:rPr>
            </w:pPr>
          </w:p>
        </w:tc>
        <w:tc>
          <w:tcPr>
            <w:tcW w:w="1628" w:type="dxa"/>
            <w:gridSpan w:val="3"/>
            <w:tcBorders>
              <w:top w:val="single" w:color="auto" w:sz="4" w:space="0"/>
              <w:left w:val="single" w:color="auto" w:sz="4" w:space="0"/>
            </w:tcBorders>
            <w:vAlign w:val="center"/>
          </w:tcPr>
          <w:p>
            <w:pPr>
              <w:pStyle w:val="17"/>
              <w:rPr>
                <w:sz w:val="24"/>
                <w:szCs w:val="24"/>
              </w:rPr>
            </w:pPr>
          </w:p>
        </w:tc>
        <w:tc>
          <w:tcPr>
            <w:tcW w:w="1627" w:type="dxa"/>
            <w:gridSpan w:val="2"/>
            <w:tcBorders>
              <w:top w:val="single" w:color="auto" w:sz="4" w:space="0"/>
              <w:left w:val="single" w:color="auto" w:sz="4" w:space="0"/>
            </w:tcBorders>
            <w:vAlign w:val="center"/>
          </w:tcPr>
          <w:p>
            <w:pPr>
              <w:pStyle w:val="17"/>
              <w:rPr>
                <w:sz w:val="24"/>
                <w:szCs w:val="24"/>
              </w:rPr>
            </w:pPr>
          </w:p>
        </w:tc>
        <w:tc>
          <w:tcPr>
            <w:tcW w:w="1628" w:type="dxa"/>
            <w:tcBorders>
              <w:top w:val="single" w:color="auto" w:sz="4" w:space="0"/>
              <w:left w:val="single" w:color="auto" w:sz="4" w:space="0"/>
            </w:tcBorders>
            <w:vAlign w:val="center"/>
          </w:tcPr>
          <w:p>
            <w:pPr>
              <w:pStyle w:val="17"/>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627" w:type="dxa"/>
            <w:vMerge w:val="restart"/>
            <w:tcBorders>
              <w:top w:val="single" w:color="auto" w:sz="4" w:space="0"/>
              <w:left w:val="single" w:color="auto" w:sz="4" w:space="0"/>
            </w:tcBorders>
            <w:vAlign w:val="center"/>
          </w:tcPr>
          <w:p>
            <w:pPr>
              <w:pStyle w:val="17"/>
              <w:spacing w:before="209"/>
              <w:ind w:left="144" w:right="132"/>
              <w:jc w:val="center"/>
              <w:rPr>
                <w:sz w:val="24"/>
                <w:szCs w:val="24"/>
                <w:lang w:eastAsia="zh-CN"/>
              </w:rPr>
            </w:pPr>
            <w:r>
              <w:rPr>
                <w:rFonts w:hint="eastAsia"/>
                <w:sz w:val="24"/>
                <w:szCs w:val="24"/>
                <w:lang w:eastAsia="zh-CN"/>
              </w:rPr>
              <w:t>知识产权纠纷处理情况（件）</w:t>
            </w:r>
          </w:p>
        </w:tc>
        <w:tc>
          <w:tcPr>
            <w:tcW w:w="1628" w:type="dxa"/>
            <w:gridSpan w:val="2"/>
            <w:tcBorders>
              <w:top w:val="single" w:color="auto" w:sz="4" w:space="0"/>
              <w:left w:val="single" w:color="auto" w:sz="4" w:space="0"/>
            </w:tcBorders>
            <w:vAlign w:val="center"/>
          </w:tcPr>
          <w:p>
            <w:pPr>
              <w:pStyle w:val="17"/>
              <w:spacing w:before="210"/>
              <w:ind w:right="132"/>
              <w:jc w:val="center"/>
              <w:rPr>
                <w:sz w:val="24"/>
                <w:szCs w:val="24"/>
              </w:rPr>
            </w:pPr>
            <w:r>
              <w:rPr>
                <w:rFonts w:hint="eastAsia"/>
                <w:sz w:val="24"/>
                <w:szCs w:val="24"/>
              </w:rPr>
              <w:t>行政途径</w:t>
            </w:r>
          </w:p>
        </w:tc>
        <w:tc>
          <w:tcPr>
            <w:tcW w:w="1627" w:type="dxa"/>
            <w:gridSpan w:val="2"/>
            <w:tcBorders>
              <w:top w:val="single" w:color="auto" w:sz="4" w:space="0"/>
              <w:left w:val="single" w:color="auto" w:sz="4" w:space="0"/>
            </w:tcBorders>
            <w:vAlign w:val="center"/>
          </w:tcPr>
          <w:p>
            <w:pPr>
              <w:pStyle w:val="17"/>
              <w:spacing w:before="210"/>
              <w:ind w:left="289" w:right="132"/>
              <w:rPr>
                <w:sz w:val="24"/>
                <w:szCs w:val="24"/>
              </w:rPr>
            </w:pPr>
            <w:r>
              <w:rPr>
                <w:rFonts w:hint="eastAsia"/>
                <w:sz w:val="24"/>
                <w:szCs w:val="24"/>
              </w:rPr>
              <w:t>司法途径</w:t>
            </w:r>
          </w:p>
        </w:tc>
        <w:tc>
          <w:tcPr>
            <w:tcW w:w="1628" w:type="dxa"/>
            <w:gridSpan w:val="3"/>
            <w:tcBorders>
              <w:top w:val="single" w:color="auto" w:sz="4" w:space="0"/>
              <w:left w:val="single" w:color="auto" w:sz="4" w:space="0"/>
            </w:tcBorders>
            <w:vAlign w:val="center"/>
          </w:tcPr>
          <w:p>
            <w:pPr>
              <w:pStyle w:val="17"/>
              <w:spacing w:before="210"/>
              <w:ind w:left="131" w:right="132"/>
              <w:rPr>
                <w:sz w:val="24"/>
                <w:szCs w:val="24"/>
              </w:rPr>
            </w:pPr>
            <w:r>
              <w:rPr>
                <w:rFonts w:hint="eastAsia"/>
                <w:sz w:val="24"/>
                <w:szCs w:val="24"/>
              </w:rPr>
              <w:t>调解途径</w:t>
            </w:r>
          </w:p>
        </w:tc>
        <w:tc>
          <w:tcPr>
            <w:tcW w:w="3255" w:type="dxa"/>
            <w:gridSpan w:val="3"/>
            <w:tcBorders>
              <w:top w:val="single" w:color="auto" w:sz="4" w:space="0"/>
              <w:left w:val="single" w:color="auto" w:sz="4" w:space="0"/>
            </w:tcBorders>
            <w:vAlign w:val="center"/>
          </w:tcPr>
          <w:p>
            <w:pPr>
              <w:pStyle w:val="17"/>
              <w:spacing w:before="209"/>
              <w:jc w:val="center"/>
              <w:rPr>
                <w:sz w:val="24"/>
                <w:szCs w:val="24"/>
              </w:rPr>
            </w:pPr>
            <w:r>
              <w:rPr>
                <w:rFonts w:hint="eastAsia"/>
                <w:sz w:val="24"/>
                <w:szCs w:val="24"/>
              </w:rPr>
              <w:t>其他途径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627" w:type="dxa"/>
            <w:vMerge w:val="continue"/>
            <w:tcBorders>
              <w:left w:val="single" w:color="auto" w:sz="4" w:space="0"/>
            </w:tcBorders>
          </w:tcPr>
          <w:p>
            <w:pPr>
              <w:pStyle w:val="17"/>
              <w:rPr>
                <w:sz w:val="24"/>
                <w:szCs w:val="24"/>
              </w:rPr>
            </w:pPr>
          </w:p>
        </w:tc>
        <w:tc>
          <w:tcPr>
            <w:tcW w:w="1628" w:type="dxa"/>
            <w:gridSpan w:val="2"/>
            <w:tcBorders>
              <w:top w:val="single" w:color="auto" w:sz="4" w:space="0"/>
              <w:left w:val="single" w:color="auto" w:sz="4" w:space="0"/>
            </w:tcBorders>
          </w:tcPr>
          <w:p>
            <w:pPr>
              <w:pStyle w:val="17"/>
              <w:rPr>
                <w:sz w:val="24"/>
                <w:szCs w:val="24"/>
              </w:rPr>
            </w:pPr>
          </w:p>
        </w:tc>
        <w:tc>
          <w:tcPr>
            <w:tcW w:w="1627" w:type="dxa"/>
            <w:gridSpan w:val="2"/>
            <w:tcBorders>
              <w:top w:val="single" w:color="auto" w:sz="4" w:space="0"/>
              <w:left w:val="single" w:color="auto" w:sz="4" w:space="0"/>
            </w:tcBorders>
          </w:tcPr>
          <w:p>
            <w:pPr>
              <w:pStyle w:val="17"/>
              <w:rPr>
                <w:sz w:val="24"/>
                <w:szCs w:val="24"/>
              </w:rPr>
            </w:pPr>
          </w:p>
        </w:tc>
        <w:tc>
          <w:tcPr>
            <w:tcW w:w="1628" w:type="dxa"/>
            <w:gridSpan w:val="3"/>
            <w:tcBorders>
              <w:top w:val="single" w:color="auto" w:sz="4" w:space="0"/>
              <w:left w:val="single" w:color="auto" w:sz="4" w:space="0"/>
            </w:tcBorders>
          </w:tcPr>
          <w:p>
            <w:pPr>
              <w:pStyle w:val="17"/>
              <w:rPr>
                <w:sz w:val="24"/>
                <w:szCs w:val="24"/>
              </w:rPr>
            </w:pPr>
          </w:p>
        </w:tc>
        <w:tc>
          <w:tcPr>
            <w:tcW w:w="1627" w:type="dxa"/>
            <w:gridSpan w:val="2"/>
            <w:tcBorders>
              <w:top w:val="single" w:color="auto" w:sz="4" w:space="0"/>
              <w:left w:val="single" w:color="auto" w:sz="4" w:space="0"/>
            </w:tcBorders>
          </w:tcPr>
          <w:p>
            <w:pPr>
              <w:pStyle w:val="17"/>
              <w:rPr>
                <w:sz w:val="24"/>
                <w:szCs w:val="24"/>
              </w:rPr>
            </w:pPr>
          </w:p>
        </w:tc>
        <w:tc>
          <w:tcPr>
            <w:tcW w:w="1628" w:type="dxa"/>
            <w:tcBorders>
              <w:top w:val="single" w:color="auto" w:sz="4" w:space="0"/>
              <w:left w:val="single" w:color="auto" w:sz="4" w:space="0"/>
            </w:tcBorders>
          </w:tcPr>
          <w:p>
            <w:pPr>
              <w:pStyle w:val="17"/>
              <w:rPr>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7" w:hRule="atLeast"/>
        </w:trPr>
        <w:tc>
          <w:tcPr>
            <w:tcW w:w="9765" w:type="dxa"/>
            <w:gridSpan w:val="11"/>
            <w:tcBorders>
              <w:top w:val="single" w:color="auto" w:sz="4" w:space="0"/>
              <w:left w:val="single" w:color="auto" w:sz="4" w:space="0"/>
              <w:bottom w:val="single" w:color="auto" w:sz="4" w:space="0"/>
            </w:tcBorders>
          </w:tcPr>
          <w:p>
            <w:pPr>
              <w:pStyle w:val="17"/>
              <w:jc w:val="center"/>
              <w:rPr>
                <w:b/>
                <w:sz w:val="24"/>
                <w:szCs w:val="24"/>
                <w:lang w:eastAsia="zh-CN"/>
              </w:rPr>
            </w:pPr>
            <w:r>
              <w:rPr>
                <w:rFonts w:hint="eastAsia"/>
                <w:b/>
                <w:sz w:val="24"/>
                <w:szCs w:val="24"/>
                <w:lang w:eastAsia="zh-CN"/>
              </w:rPr>
              <w:t>申请备案单位声明（必须确认）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5" w:hRule="atLeast"/>
        </w:trPr>
        <w:tc>
          <w:tcPr>
            <w:tcW w:w="9765" w:type="dxa"/>
            <w:gridSpan w:val="11"/>
            <w:tcBorders>
              <w:top w:val="single" w:color="auto" w:sz="4" w:space="0"/>
              <w:left w:val="single" w:color="auto" w:sz="4" w:space="0"/>
              <w:bottom w:val="single" w:color="auto" w:sz="4" w:space="0"/>
            </w:tcBorders>
          </w:tcPr>
          <w:p>
            <w:pPr>
              <w:pStyle w:val="17"/>
              <w:spacing w:before="210"/>
              <w:ind w:left="107"/>
              <w:rPr>
                <w:sz w:val="24"/>
                <w:szCs w:val="24"/>
                <w:lang w:eastAsia="zh-CN"/>
              </w:rPr>
            </w:pPr>
            <w:r>
              <w:rPr>
                <w:rFonts w:hint="eastAsia"/>
                <w:sz w:val="24"/>
                <w:szCs w:val="24"/>
                <w:lang w:eastAsia="zh-CN"/>
              </w:rPr>
              <w:t>□申请材料均真实、合法、有效。如有不实之处，愿负相应法律责任。</w:t>
            </w:r>
          </w:p>
          <w:p>
            <w:pPr>
              <w:pStyle w:val="17"/>
              <w:ind w:left="107"/>
              <w:rPr>
                <w:sz w:val="24"/>
                <w:szCs w:val="24"/>
                <w:lang w:eastAsia="zh-CN"/>
              </w:rPr>
            </w:pPr>
            <w:r>
              <w:rPr>
                <w:rFonts w:hint="eastAsia"/>
                <w:sz w:val="24"/>
                <w:szCs w:val="24"/>
                <w:lang w:eastAsia="zh-CN"/>
              </w:rPr>
              <w:t>□三年内无国家知识产权局认定的非正常专利申请、故意侵犯他人知识产权等不良记录。</w:t>
            </w:r>
          </w:p>
          <w:p>
            <w:pPr>
              <w:pStyle w:val="17"/>
              <w:ind w:left="107"/>
              <w:rPr>
                <w:sz w:val="24"/>
                <w:szCs w:val="24"/>
                <w:lang w:eastAsia="zh-CN"/>
              </w:rPr>
            </w:pPr>
            <w:r>
              <w:rPr>
                <w:rFonts w:hint="eastAsia"/>
                <w:sz w:val="24"/>
                <w:szCs w:val="24"/>
                <w:lang w:eastAsia="zh-CN"/>
              </w:rPr>
              <w:t>□提交并遵守</w:t>
            </w:r>
            <w:r>
              <w:rPr>
                <w:rFonts w:hint="eastAsia"/>
                <w:spacing w:val="-8"/>
                <w:sz w:val="24"/>
                <w:szCs w:val="24"/>
                <w:lang w:eastAsia="zh-CN"/>
              </w:rPr>
              <w:t>《嘉兴市知识产权保护中心专利预审承诺书》，遵守相关知识产权法律法规。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80" w:hRule="atLeast"/>
        </w:trPr>
        <w:tc>
          <w:tcPr>
            <w:tcW w:w="9765" w:type="dxa"/>
            <w:gridSpan w:val="11"/>
            <w:tcBorders>
              <w:top w:val="single" w:color="auto" w:sz="4" w:space="0"/>
              <w:left w:val="single" w:color="auto" w:sz="4" w:space="0"/>
              <w:bottom w:val="single" w:color="auto" w:sz="4" w:space="0"/>
            </w:tcBorders>
          </w:tcPr>
          <w:p>
            <w:pPr>
              <w:pStyle w:val="17"/>
              <w:spacing w:before="209"/>
              <w:ind w:left="107"/>
              <w:rPr>
                <w:sz w:val="24"/>
                <w:szCs w:val="24"/>
                <w:lang w:eastAsia="zh-CN"/>
              </w:rPr>
            </w:pPr>
            <w:r>
              <w:rPr>
                <w:rFonts w:hint="eastAsia"/>
                <w:sz w:val="24"/>
                <w:szCs w:val="24"/>
                <w:lang w:eastAsia="zh-CN"/>
              </w:rPr>
              <w:t>申请单位签章：</w:t>
            </w:r>
          </w:p>
          <w:p>
            <w:pPr>
              <w:pStyle w:val="17"/>
              <w:spacing w:before="209"/>
              <w:ind w:left="107"/>
              <w:rPr>
                <w:sz w:val="24"/>
                <w:szCs w:val="24"/>
                <w:lang w:eastAsia="zh-CN"/>
              </w:rPr>
            </w:pPr>
          </w:p>
          <w:p>
            <w:pPr>
              <w:pStyle w:val="17"/>
              <w:spacing w:before="209"/>
              <w:ind w:left="108" w:right="1320" w:rightChars="600"/>
              <w:jc w:val="right"/>
              <w:rPr>
                <w:sz w:val="24"/>
                <w:szCs w:val="24"/>
                <w:lang w:eastAsia="zh-CN"/>
              </w:rPr>
            </w:pPr>
            <w:r>
              <w:rPr>
                <w:rFonts w:hint="eastAsia"/>
                <w:sz w:val="24"/>
                <w:szCs w:val="24"/>
                <w:lang w:eastAsia="zh-CN"/>
              </w:rPr>
              <w:t>（加盖公章）</w:t>
            </w:r>
          </w:p>
          <w:p>
            <w:pPr>
              <w:pStyle w:val="17"/>
              <w:spacing w:before="209"/>
              <w:ind w:left="108" w:right="1320" w:rightChars="600"/>
              <w:jc w:val="right"/>
              <w:rPr>
                <w:sz w:val="24"/>
                <w:szCs w:val="24"/>
                <w:lang w:eastAsia="zh-CN"/>
              </w:rPr>
            </w:pPr>
            <w:r>
              <w:rPr>
                <w:rFonts w:hint="eastAsia"/>
                <w:sz w:val="24"/>
                <w:szCs w:val="24"/>
                <w:lang w:eastAsia="zh-CN"/>
              </w:rPr>
              <w:t>年   月   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01" w:hRule="atLeast"/>
        </w:trPr>
        <w:tc>
          <w:tcPr>
            <w:tcW w:w="9765" w:type="dxa"/>
            <w:gridSpan w:val="11"/>
            <w:tcBorders>
              <w:top w:val="single" w:color="auto" w:sz="4" w:space="0"/>
              <w:left w:val="single" w:color="auto" w:sz="4" w:space="0"/>
              <w:bottom w:val="single" w:color="auto" w:sz="4" w:space="0"/>
            </w:tcBorders>
          </w:tcPr>
          <w:p>
            <w:pPr>
              <w:pStyle w:val="17"/>
              <w:spacing w:before="208"/>
              <w:ind w:left="107"/>
              <w:rPr>
                <w:sz w:val="24"/>
                <w:szCs w:val="24"/>
                <w:lang w:eastAsia="zh-CN"/>
              </w:rPr>
            </w:pPr>
            <w:r>
              <w:rPr>
                <w:rFonts w:hint="eastAsia"/>
                <w:sz w:val="24"/>
                <w:szCs w:val="24"/>
                <w:lang w:eastAsia="zh-CN"/>
              </w:rPr>
              <w:t>嘉兴市知识产权保护中心签章：</w:t>
            </w:r>
          </w:p>
          <w:p>
            <w:pPr>
              <w:pStyle w:val="17"/>
              <w:rPr>
                <w:sz w:val="24"/>
                <w:szCs w:val="24"/>
                <w:lang w:eastAsia="zh-CN"/>
              </w:rPr>
            </w:pPr>
          </w:p>
          <w:p>
            <w:pPr>
              <w:pStyle w:val="17"/>
              <w:spacing w:before="10"/>
              <w:ind w:right="880" w:rightChars="400"/>
              <w:rPr>
                <w:sz w:val="24"/>
                <w:szCs w:val="24"/>
                <w:lang w:eastAsia="zh-CN"/>
              </w:rPr>
            </w:pPr>
          </w:p>
          <w:p>
            <w:pPr>
              <w:pStyle w:val="17"/>
              <w:tabs>
                <w:tab w:val="left" w:pos="599"/>
                <w:tab w:val="left" w:pos="1199"/>
              </w:tabs>
              <w:ind w:right="880" w:rightChars="400"/>
              <w:jc w:val="right"/>
              <w:rPr>
                <w:sz w:val="24"/>
                <w:szCs w:val="24"/>
                <w:lang w:eastAsia="zh-CN"/>
              </w:rPr>
            </w:pPr>
            <w:r>
              <w:rPr>
                <w:rFonts w:hint="eastAsia"/>
                <w:sz w:val="24"/>
                <w:szCs w:val="24"/>
              </w:rPr>
              <w:t>年</w:t>
            </w:r>
            <w:r>
              <w:rPr>
                <w:rFonts w:hint="eastAsia"/>
                <w:sz w:val="24"/>
                <w:szCs w:val="24"/>
              </w:rPr>
              <w:tab/>
            </w:r>
            <w:r>
              <w:rPr>
                <w:rFonts w:hint="eastAsia"/>
                <w:sz w:val="24"/>
                <w:szCs w:val="24"/>
              </w:rPr>
              <w:t>月</w:t>
            </w:r>
            <w:r>
              <w:rPr>
                <w:rFonts w:hint="eastAsia"/>
                <w:sz w:val="24"/>
                <w:szCs w:val="24"/>
              </w:rPr>
              <w:tab/>
            </w:r>
            <w:r>
              <w:rPr>
                <w:rFonts w:hint="eastAsia"/>
                <w:sz w:val="24"/>
                <w:szCs w:val="24"/>
              </w:rPr>
              <w:t>日</w:t>
            </w:r>
          </w:p>
        </w:tc>
      </w:tr>
    </w:tbl>
    <w:p>
      <w:pPr>
        <w:ind w:right="586"/>
        <w:jc w:val="right"/>
        <w:rPr>
          <w:sz w:val="24"/>
          <w:lang w:eastAsia="zh-CN"/>
        </w:rPr>
        <w:sectPr>
          <w:footerReference r:id="rId5" w:type="default"/>
          <w:pgSz w:w="11910" w:h="16840"/>
          <w:pgMar w:top="1797" w:right="1440" w:bottom="1797" w:left="1440" w:header="0" w:footer="1035" w:gutter="0"/>
          <w:cols w:space="720" w:num="1"/>
          <w:docGrid w:linePitch="299" w:charSpace="0"/>
        </w:sectPr>
      </w:pPr>
    </w:p>
    <w:p>
      <w:pPr>
        <w:pStyle w:val="5"/>
        <w:spacing w:before="54" w:line="381" w:lineRule="exact"/>
        <w:ind w:left="0"/>
        <w:rPr>
          <w:rFonts w:ascii="黑体" w:eastAsia="黑体"/>
          <w:lang w:eastAsia="zh-CN"/>
        </w:rPr>
      </w:pPr>
      <w:r>
        <w:rPr>
          <w:rFonts w:hint="eastAsia" w:ascii="黑体" w:eastAsia="黑体"/>
          <w:lang w:eastAsia="zh-CN"/>
        </w:rPr>
        <w:t>附件 2：</w:t>
      </w:r>
    </w:p>
    <w:p>
      <w:pPr>
        <w:pStyle w:val="2"/>
        <w:rPr>
          <w:lang w:eastAsia="zh-CN"/>
        </w:rPr>
      </w:pPr>
      <w:r>
        <w:rPr>
          <w:lang w:eastAsia="zh-CN"/>
        </w:rPr>
        <w:t>嘉兴市知识产权保护中心</w:t>
      </w:r>
    </w:p>
    <w:p>
      <w:pPr>
        <w:pStyle w:val="2"/>
        <w:rPr>
          <w:lang w:eastAsia="zh-CN"/>
        </w:rPr>
      </w:pPr>
      <w:r>
        <w:rPr>
          <w:lang w:eastAsia="zh-CN"/>
        </w:rPr>
        <w:t>专利预审承诺书</w:t>
      </w:r>
    </w:p>
    <w:p>
      <w:pPr>
        <w:pStyle w:val="3"/>
        <w:spacing w:before="54" w:line="328" w:lineRule="auto"/>
        <w:ind w:left="0" w:firstLine="643" w:firstLineChars="200"/>
        <w:jc w:val="both"/>
        <w:rPr>
          <w:u w:val="single"/>
          <w:lang w:eastAsia="zh-CN"/>
        </w:rPr>
      </w:pPr>
    </w:p>
    <w:p>
      <w:pPr>
        <w:pStyle w:val="3"/>
        <w:spacing w:before="54" w:line="328" w:lineRule="auto"/>
        <w:ind w:left="0" w:firstLine="643" w:firstLineChars="200"/>
        <w:jc w:val="both"/>
        <w:rPr>
          <w:lang w:eastAsia="zh-CN"/>
        </w:rPr>
      </w:pPr>
      <w:r>
        <w:rPr>
          <w:rFonts w:hint="eastAsia"/>
          <w:u w:val="single"/>
          <w:lang w:eastAsia="zh-CN"/>
        </w:rPr>
        <w:t xml:space="preserve">                        </w:t>
      </w:r>
      <w:r>
        <w:rPr>
          <w:u w:val="single"/>
          <w:lang w:eastAsia="zh-CN"/>
        </w:rPr>
        <w:t>（单位名称）</w:t>
      </w:r>
      <w:r>
        <w:rPr>
          <w:lang w:eastAsia="zh-CN"/>
        </w:rPr>
        <w:t>自愿在</w:t>
      </w:r>
      <w:r>
        <w:rPr>
          <w:rFonts w:hint="eastAsia"/>
          <w:lang w:eastAsia="zh-CN"/>
        </w:rPr>
        <w:t>嘉兴市</w:t>
      </w:r>
      <w:r>
        <w:rPr>
          <w:lang w:eastAsia="zh-CN"/>
        </w:rPr>
        <w:t>知识产权保护中心（以下简称“</w:t>
      </w:r>
      <w:r>
        <w:rPr>
          <w:rFonts w:hint="eastAsia"/>
          <w:lang w:eastAsia="zh-CN"/>
        </w:rPr>
        <w:t>嘉兴</w:t>
      </w:r>
      <w:r>
        <w:rPr>
          <w:lang w:eastAsia="zh-CN"/>
        </w:rPr>
        <w:t>保护中心”）申请专利预审备案，知悉并愿意承担专利预审涉及的有关法律风险，承诺不提交虚假材料、遵守专利申请预审服务规范、自愿接受</w:t>
      </w:r>
      <w:r>
        <w:rPr>
          <w:rFonts w:hint="eastAsia"/>
          <w:lang w:eastAsia="zh-CN"/>
        </w:rPr>
        <w:t>嘉兴</w:t>
      </w:r>
      <w:r>
        <w:rPr>
          <w:lang w:eastAsia="zh-CN"/>
        </w:rPr>
        <w:t>保护中心的专利预审管理。</w:t>
      </w:r>
    </w:p>
    <w:p>
      <w:pPr>
        <w:spacing w:line="402" w:lineRule="exact"/>
        <w:ind w:firstLine="643" w:firstLineChars="200"/>
        <w:rPr>
          <w:b/>
          <w:sz w:val="32"/>
          <w:lang w:eastAsia="zh-CN"/>
        </w:rPr>
      </w:pPr>
      <w:r>
        <w:rPr>
          <w:b/>
          <w:sz w:val="32"/>
          <w:lang w:eastAsia="zh-CN"/>
        </w:rPr>
        <w:t>专利申请预审服务规范的有关事项如下：</w:t>
      </w:r>
    </w:p>
    <w:p>
      <w:pPr>
        <w:pStyle w:val="5"/>
        <w:spacing w:before="152"/>
        <w:ind w:left="0" w:firstLine="640" w:firstLineChars="200"/>
        <w:rPr>
          <w:rFonts w:ascii="黑体" w:eastAsia="黑体"/>
          <w:lang w:eastAsia="zh-CN"/>
        </w:rPr>
      </w:pPr>
      <w:r>
        <w:rPr>
          <w:rFonts w:hint="eastAsia" w:ascii="黑体" w:eastAsia="黑体"/>
          <w:lang w:eastAsia="zh-CN"/>
        </w:rPr>
        <w:t>一、在嘉兴保护中心专利申请预审阶段</w:t>
      </w:r>
    </w:p>
    <w:p>
      <w:pPr>
        <w:pStyle w:val="5"/>
        <w:spacing w:before="149"/>
        <w:ind w:left="0" w:firstLine="640" w:firstLineChars="200"/>
        <w:jc w:val="both"/>
        <w:rPr>
          <w:lang w:eastAsia="zh-CN"/>
        </w:rPr>
      </w:pPr>
      <w:r>
        <w:rPr>
          <w:lang w:eastAsia="zh-CN"/>
        </w:rPr>
        <w:t>（一）提交符合要求的XML格式专利申请文件。</w:t>
      </w:r>
    </w:p>
    <w:p>
      <w:pPr>
        <w:pStyle w:val="5"/>
        <w:spacing w:before="149" w:line="328" w:lineRule="auto"/>
        <w:ind w:left="0" w:firstLine="638"/>
        <w:jc w:val="both"/>
        <w:rPr>
          <w:lang w:eastAsia="zh-CN"/>
        </w:rPr>
      </w:pPr>
      <w:r>
        <w:rPr>
          <w:lang w:eastAsia="zh-CN"/>
        </w:rPr>
        <w:t>（二）提交专利申请预审请求不涉及以下情形：按照专利合作条约（PCT）提出的专利国际申请、进入中国国家阶段的PCT国</w:t>
      </w:r>
      <w:r>
        <w:rPr>
          <w:w w:val="95"/>
          <w:lang w:eastAsia="zh-CN"/>
        </w:rPr>
        <w:t>际申请、根据《专利法》第九条所规定的同一申请人同日对同样的发明创造所申请的实用新型专利和发明专利、分案申请</w:t>
      </w:r>
      <w:r>
        <w:rPr>
          <w:lang w:eastAsia="zh-CN"/>
        </w:rPr>
        <w:t>和根据《专利法实施细则》第七条所规定的需要进行保密审查的申请。</w:t>
      </w:r>
    </w:p>
    <w:p>
      <w:pPr>
        <w:pStyle w:val="5"/>
        <w:spacing w:line="329" w:lineRule="auto"/>
        <w:ind w:left="0" w:firstLine="608" w:firstLineChars="200"/>
        <w:rPr>
          <w:w w:val="95"/>
          <w:lang w:eastAsia="zh-CN"/>
        </w:rPr>
      </w:pPr>
      <w:r>
        <w:rPr>
          <w:w w:val="95"/>
          <w:lang w:eastAsia="zh-CN"/>
        </w:rPr>
        <w:t>（三）不提交发明创造内容明显相同或者实质上由不同发明创造特征或要素简单组合变化而形成的多件专利申请预审请求。</w:t>
      </w:r>
    </w:p>
    <w:p>
      <w:pPr>
        <w:pStyle w:val="5"/>
        <w:spacing w:line="329" w:lineRule="auto"/>
        <w:ind w:left="0" w:firstLine="608" w:firstLineChars="200"/>
        <w:rPr>
          <w:lang w:eastAsia="zh-CN"/>
        </w:rPr>
      </w:pPr>
      <w:bookmarkStart w:id="1" w:name="_Hlk157033432"/>
      <w:r>
        <w:rPr>
          <w:w w:val="95"/>
          <w:lang w:eastAsia="zh-CN"/>
        </w:rPr>
        <w:t>（四）不提交存在编造、伪造或变造发明创造内容、实验数据或技术效果，或者抄袭、简单替换、拼凑现有技术或现有设计</w:t>
      </w:r>
      <w:r>
        <w:rPr>
          <w:lang w:eastAsia="zh-CN"/>
        </w:rPr>
        <w:t>等情况的专利申请预审请求。</w:t>
      </w:r>
    </w:p>
    <w:bookmarkEnd w:id="1"/>
    <w:p>
      <w:pPr>
        <w:pStyle w:val="5"/>
        <w:spacing w:line="326" w:lineRule="auto"/>
        <w:ind w:left="0" w:firstLine="640" w:firstLineChars="200"/>
        <w:rPr>
          <w:lang w:eastAsia="zh-CN"/>
        </w:rPr>
      </w:pPr>
      <w:r>
        <w:rPr>
          <w:lang w:eastAsia="zh-CN"/>
        </w:rPr>
        <w:t>（五）不提交与申请人实际经营范围、研发能力及资源条件明显不符的专利申请预审请求。</w:t>
      </w:r>
    </w:p>
    <w:p>
      <w:pPr>
        <w:pStyle w:val="5"/>
        <w:spacing w:before="5" w:line="326" w:lineRule="auto"/>
        <w:ind w:left="0" w:firstLine="638"/>
        <w:rPr>
          <w:lang w:eastAsia="zh-CN"/>
        </w:rPr>
      </w:pPr>
      <w:r>
        <w:rPr>
          <w:lang w:eastAsia="zh-CN"/>
        </w:rPr>
        <w:t>（六）不提交利用计算机程序或其他技术随机生成的专利申请预审请求。</w:t>
      </w:r>
    </w:p>
    <w:p>
      <w:pPr>
        <w:pStyle w:val="5"/>
        <w:spacing w:line="329" w:lineRule="auto"/>
        <w:ind w:left="0" w:firstLine="641"/>
        <w:rPr>
          <w:lang w:eastAsia="zh-CN"/>
        </w:rPr>
      </w:pPr>
      <w:r>
        <w:rPr>
          <w:lang w:eastAsia="zh-CN"/>
        </w:rPr>
        <w:t>（七）不提交发明创造内容明显不符合技术改进或设计常理，或者无实际保护价值的变劣、堆砌、非必要缩限保护范围，或者无任何检索和审查意义的专利申请预审请求。</w:t>
      </w:r>
    </w:p>
    <w:p>
      <w:pPr>
        <w:pStyle w:val="5"/>
        <w:spacing w:line="329" w:lineRule="auto"/>
        <w:ind w:left="0" w:firstLine="640" w:firstLineChars="200"/>
        <w:rPr>
          <w:lang w:eastAsia="zh-CN"/>
        </w:rPr>
      </w:pPr>
      <w:r>
        <w:rPr>
          <w:rFonts w:hint="eastAsia"/>
          <w:lang w:eastAsia="zh-CN"/>
        </w:rPr>
        <w:t>（八）</w:t>
      </w:r>
      <w:r>
        <w:rPr>
          <w:lang w:eastAsia="zh-CN"/>
        </w:rPr>
        <w:t>不对同一专利申请重复多次提交预审。</w:t>
      </w:r>
    </w:p>
    <w:p>
      <w:pPr>
        <w:pStyle w:val="5"/>
        <w:spacing w:line="329" w:lineRule="auto"/>
        <w:ind w:left="0" w:firstLine="640" w:firstLineChars="200"/>
        <w:rPr>
          <w:lang w:eastAsia="zh-CN"/>
        </w:rPr>
      </w:pPr>
      <w:r>
        <w:rPr>
          <w:lang w:eastAsia="zh-CN"/>
        </w:rPr>
        <w:t>（九</w:t>
      </w:r>
      <w:r>
        <w:rPr>
          <w:rFonts w:hint="eastAsia"/>
          <w:lang w:eastAsia="zh-CN"/>
        </w:rPr>
        <w:t>）</w:t>
      </w:r>
      <w:r>
        <w:rPr>
          <w:lang w:eastAsia="zh-CN"/>
        </w:rPr>
        <w:t>保证专利申请预审请求的质量，专利申请文件符合《专利法实施细则》第五十条规定的初步审查要求。申请人名称、统一社会信用代码、发明人姓名、发明人身份证号、专利代理总委托书编号、专利代理机构代码、专利代理人执业证号等信息均填写准确。</w:t>
      </w:r>
    </w:p>
    <w:p>
      <w:pPr>
        <w:pStyle w:val="5"/>
        <w:spacing w:line="329" w:lineRule="auto"/>
        <w:ind w:left="0" w:firstLine="641"/>
        <w:jc w:val="both"/>
        <w:rPr>
          <w:lang w:eastAsia="zh-CN"/>
        </w:rPr>
      </w:pPr>
      <w:r>
        <w:rPr>
          <w:lang w:eastAsia="zh-CN"/>
        </w:rPr>
        <w:t>（十）对于发明专利申请预审请求，需在请求书中勾选</w:t>
      </w:r>
      <w:r>
        <w:rPr>
          <w:rFonts w:hint="eastAsia" w:ascii="仿宋" w:hAnsi="仿宋" w:eastAsia="仿宋"/>
          <w:lang w:eastAsia="zh-CN"/>
        </w:rPr>
        <w:t>“</w:t>
      </w:r>
      <w:r>
        <w:rPr>
          <w:lang w:eastAsia="zh-CN"/>
        </w:rPr>
        <w:t>请求早日公布该专利申请</w:t>
      </w:r>
      <w:r>
        <w:rPr>
          <w:rFonts w:hint="eastAsia" w:ascii="仿宋" w:hAnsi="仿宋" w:eastAsia="仿宋"/>
          <w:lang w:eastAsia="zh-CN"/>
        </w:rPr>
        <w:t>”</w:t>
      </w:r>
      <w:r>
        <w:rPr>
          <w:lang w:eastAsia="zh-CN"/>
        </w:rPr>
        <w:t>、“请求对该专利申请进行实质审查”及“放弃主动修改的权利”。</w:t>
      </w:r>
    </w:p>
    <w:p>
      <w:pPr>
        <w:pStyle w:val="5"/>
        <w:spacing w:line="328" w:lineRule="auto"/>
        <w:ind w:left="0" w:firstLine="638"/>
        <w:rPr>
          <w:lang w:eastAsia="zh-CN"/>
        </w:rPr>
      </w:pPr>
      <w:r>
        <w:rPr>
          <w:lang w:eastAsia="zh-CN"/>
        </w:rPr>
        <w:t>（十一）根据《专利法》第二十九条的规定要求优先权的，将在先申请文件副本一并提交。</w:t>
      </w:r>
    </w:p>
    <w:p>
      <w:pPr>
        <w:pStyle w:val="5"/>
        <w:spacing w:line="328" w:lineRule="auto"/>
        <w:ind w:left="0" w:firstLine="638"/>
        <w:jc w:val="both"/>
        <w:rPr>
          <w:lang w:eastAsia="zh-CN"/>
        </w:rPr>
      </w:pPr>
      <w:r>
        <w:rPr>
          <w:lang w:eastAsia="zh-CN"/>
        </w:rPr>
        <w:t>（十二）对于根据《专利法》第二十四条和《专利法实施细</w:t>
      </w:r>
      <w:r>
        <w:rPr>
          <w:w w:val="95"/>
          <w:lang w:eastAsia="zh-CN"/>
        </w:rPr>
        <w:t>则》第三十三条第三款的需要提交证明文件的情形，将相关证明文</w:t>
      </w:r>
      <w:r>
        <w:rPr>
          <w:lang w:eastAsia="zh-CN"/>
        </w:rPr>
        <w:t>件一并提交。</w:t>
      </w:r>
    </w:p>
    <w:p>
      <w:pPr>
        <w:pStyle w:val="5"/>
        <w:spacing w:before="54" w:line="326" w:lineRule="auto"/>
        <w:ind w:left="0" w:firstLine="638"/>
        <w:rPr>
          <w:lang w:eastAsia="zh-CN"/>
        </w:rPr>
      </w:pPr>
      <w:r>
        <w:rPr>
          <w:lang w:eastAsia="zh-CN"/>
        </w:rPr>
        <w:t>（十三）在预审过程中仅针对预审通过通知书中指出的缺陷进行修改，需作出其他修改的，提前与</w:t>
      </w:r>
      <w:r>
        <w:rPr>
          <w:rFonts w:hint="eastAsia" w:ascii="仿宋" w:eastAsia="仿宋"/>
          <w:lang w:eastAsia="zh-CN"/>
        </w:rPr>
        <w:t>嘉兴</w:t>
      </w:r>
      <w:r>
        <w:rPr>
          <w:lang w:eastAsia="zh-CN"/>
        </w:rPr>
        <w:t>保护中心沟通。</w:t>
      </w:r>
    </w:p>
    <w:p>
      <w:pPr>
        <w:pStyle w:val="5"/>
        <w:spacing w:before="4" w:line="328" w:lineRule="auto"/>
        <w:ind w:left="0" w:firstLine="638"/>
        <w:rPr>
          <w:lang w:eastAsia="zh-CN"/>
        </w:rPr>
      </w:pPr>
      <w:r>
        <w:rPr>
          <w:w w:val="95"/>
          <w:lang w:eastAsia="zh-CN"/>
        </w:rPr>
        <w:t>（十四）在尚未收到</w:t>
      </w:r>
      <w:r>
        <w:rPr>
          <w:rFonts w:hint="eastAsia" w:ascii="仿宋" w:eastAsia="仿宋"/>
          <w:w w:val="95"/>
          <w:lang w:eastAsia="zh-CN"/>
        </w:rPr>
        <w:t>嘉兴</w:t>
      </w:r>
      <w:r>
        <w:rPr>
          <w:w w:val="95"/>
          <w:lang w:eastAsia="zh-CN"/>
        </w:rPr>
        <w:t>保护中心的预审结论前，不向国家</w:t>
      </w:r>
      <w:r>
        <w:rPr>
          <w:lang w:eastAsia="zh-CN"/>
        </w:rPr>
        <w:t>知识产权局提交专利申请。</w:t>
      </w:r>
    </w:p>
    <w:p>
      <w:pPr>
        <w:pStyle w:val="5"/>
        <w:spacing w:line="328" w:lineRule="auto"/>
        <w:ind w:left="0" w:firstLine="638"/>
        <w:jc w:val="both"/>
        <w:rPr>
          <w:lang w:eastAsia="zh-CN"/>
        </w:rPr>
      </w:pPr>
      <w:r>
        <w:rPr>
          <w:lang w:eastAsia="zh-CN"/>
        </w:rPr>
        <w:t>（十五）如有需要，</w:t>
      </w:r>
      <w:r>
        <w:rPr>
          <w:rFonts w:hint="eastAsia" w:ascii="仿宋" w:eastAsia="仿宋"/>
          <w:lang w:eastAsia="zh-CN"/>
        </w:rPr>
        <w:t>嘉兴</w:t>
      </w:r>
      <w:r>
        <w:rPr>
          <w:lang w:eastAsia="zh-CN"/>
        </w:rPr>
        <w:t>保护中心可以要求备案主体提供自主研发人员、项目研发立项、经费投入等证明材料。备案主体需</w:t>
      </w:r>
      <w:r>
        <w:rPr>
          <w:w w:val="95"/>
          <w:lang w:eastAsia="zh-CN"/>
        </w:rPr>
        <w:t>积极配合</w:t>
      </w:r>
      <w:r>
        <w:rPr>
          <w:rFonts w:hint="eastAsia" w:ascii="仿宋" w:eastAsia="仿宋"/>
          <w:w w:val="95"/>
          <w:lang w:eastAsia="zh-CN"/>
        </w:rPr>
        <w:t>嘉兴</w:t>
      </w:r>
      <w:r>
        <w:rPr>
          <w:w w:val="95"/>
          <w:lang w:eastAsia="zh-CN"/>
        </w:rPr>
        <w:t>保护中心提出的讨论约请，并及时提交证明材料。</w:t>
      </w:r>
    </w:p>
    <w:p>
      <w:pPr>
        <w:pStyle w:val="5"/>
        <w:spacing w:line="329" w:lineRule="auto"/>
        <w:ind w:left="0" w:firstLine="640" w:firstLineChars="200"/>
        <w:rPr>
          <w:lang w:eastAsia="zh-CN"/>
        </w:rPr>
      </w:pPr>
      <w:r>
        <w:rPr>
          <w:lang w:eastAsia="zh-CN"/>
        </w:rPr>
        <w:t>（十六）积极配合</w:t>
      </w:r>
      <w:r>
        <w:rPr>
          <w:rFonts w:hint="eastAsia" w:ascii="仿宋" w:eastAsia="仿宋"/>
          <w:lang w:eastAsia="zh-CN"/>
        </w:rPr>
        <w:t>嘉兴</w:t>
      </w:r>
      <w:r>
        <w:rPr>
          <w:lang w:eastAsia="zh-CN"/>
        </w:rPr>
        <w:t>保护中心开展的业务培训、调研座谈、需求调查、满意度评价等工作。</w:t>
      </w:r>
    </w:p>
    <w:p>
      <w:pPr>
        <w:pStyle w:val="5"/>
        <w:spacing w:before="152" w:line="329" w:lineRule="auto"/>
        <w:ind w:left="0" w:firstLine="641"/>
        <w:rPr>
          <w:lang w:eastAsia="zh-CN"/>
        </w:rPr>
      </w:pPr>
      <w:r>
        <w:rPr>
          <w:w w:val="95"/>
          <w:lang w:eastAsia="zh-CN"/>
        </w:rPr>
        <w:t>（十七）不得委托被</w:t>
      </w:r>
      <w:r>
        <w:rPr>
          <w:rFonts w:hint="eastAsia" w:ascii="仿宋" w:eastAsia="仿宋"/>
          <w:w w:val="95"/>
          <w:lang w:eastAsia="zh-CN"/>
        </w:rPr>
        <w:t>嘉兴</w:t>
      </w:r>
      <w:r>
        <w:rPr>
          <w:w w:val="95"/>
          <w:lang w:eastAsia="zh-CN"/>
        </w:rPr>
        <w:t>保护中心暂停或取消预审服务资格</w:t>
      </w:r>
      <w:r>
        <w:rPr>
          <w:lang w:eastAsia="zh-CN"/>
        </w:rPr>
        <w:t>的代理机构提交预审申请。</w:t>
      </w:r>
    </w:p>
    <w:p>
      <w:pPr>
        <w:pStyle w:val="5"/>
        <w:spacing w:before="3"/>
        <w:ind w:left="0" w:firstLine="608" w:firstLineChars="200"/>
        <w:rPr>
          <w:rFonts w:ascii="黑体" w:eastAsia="黑体"/>
          <w:lang w:eastAsia="zh-CN"/>
        </w:rPr>
      </w:pPr>
      <w:r>
        <w:rPr>
          <w:rFonts w:hint="eastAsia" w:ascii="黑体" w:eastAsia="黑体"/>
          <w:w w:val="95"/>
          <w:lang w:eastAsia="zh-CN"/>
        </w:rPr>
        <w:t>二、在专利申请预审通过后正式向国家知识产权局提交阶段</w:t>
      </w:r>
    </w:p>
    <w:p>
      <w:pPr>
        <w:pStyle w:val="5"/>
        <w:spacing w:before="152" w:line="326" w:lineRule="auto"/>
        <w:ind w:left="0" w:firstLine="641"/>
        <w:rPr>
          <w:rFonts w:ascii="Arial" w:hAnsi="Arial" w:eastAsia="Arial"/>
          <w:lang w:eastAsia="zh-CN"/>
        </w:rPr>
      </w:pPr>
      <w:r>
        <w:rPr>
          <w:w w:val="95"/>
          <w:lang w:eastAsia="zh-CN"/>
        </w:rPr>
        <w:t>（一）经预审通过的专利申请，在收到预审通过通知书之日</w:t>
      </w:r>
      <w:r>
        <w:rPr>
          <w:lang w:eastAsia="zh-CN"/>
        </w:rPr>
        <w:t>起</w:t>
      </w:r>
      <w:r>
        <w:rPr>
          <w:rFonts w:hint="eastAsia"/>
          <w:lang w:eastAsia="zh-CN"/>
        </w:rPr>
        <w:t>10</w:t>
      </w:r>
      <w:r>
        <w:rPr>
          <w:lang w:eastAsia="zh-CN"/>
        </w:rPr>
        <w:t>个工作日内，通过国家知识产权局</w:t>
      </w:r>
      <w:r>
        <w:rPr>
          <w:rFonts w:hint="eastAsia" w:ascii="仿宋" w:hAnsi="仿宋" w:eastAsia="仿宋"/>
          <w:lang w:eastAsia="zh-CN"/>
        </w:rPr>
        <w:t>“</w:t>
      </w:r>
      <w:r>
        <w:rPr>
          <w:lang w:eastAsia="zh-CN"/>
        </w:rPr>
        <w:t>专利业务办理系统</w:t>
      </w:r>
      <w:r>
        <w:rPr>
          <w:rFonts w:ascii="Arial" w:hAnsi="Arial" w:eastAsia="Arial"/>
          <w:lang w:eastAsia="zh-CN"/>
        </w:rPr>
        <w:t>”</w:t>
      </w:r>
      <w:r>
        <w:rPr>
          <w:lang w:eastAsia="zh-CN"/>
        </w:rPr>
        <w:t>（网址</w:t>
      </w:r>
      <w:r>
        <w:fldChar w:fldCharType="begin"/>
      </w:r>
      <w:r>
        <w:instrText xml:space="preserve"> HYPERLINK "http://cponline.cnipa.gov.cn/" \h </w:instrText>
      </w:r>
      <w:r>
        <w:fldChar w:fldCharType="separate"/>
      </w:r>
      <w:r>
        <w:rPr>
          <w:lang w:eastAsia="zh-CN"/>
        </w:rPr>
        <w:t>http://cponline.cnipa.gov.cn</w:t>
      </w:r>
      <w:r>
        <w:rPr>
          <w:lang w:eastAsia="zh-CN"/>
        </w:rPr>
        <w:fldChar w:fldCharType="end"/>
      </w:r>
      <w:r>
        <w:rPr>
          <w:lang w:eastAsia="zh-CN"/>
        </w:rPr>
        <w:t>）将预审通过的文件以XML格式向国家知识产权局提交电子申请。</w:t>
      </w:r>
    </w:p>
    <w:p>
      <w:pPr>
        <w:pStyle w:val="5"/>
        <w:spacing w:line="326" w:lineRule="auto"/>
        <w:ind w:left="0" w:firstLine="641"/>
        <w:rPr>
          <w:lang w:eastAsia="zh-CN"/>
        </w:rPr>
      </w:pPr>
      <w:r>
        <w:rPr>
          <w:lang w:eastAsia="zh-CN"/>
        </w:rPr>
        <w:t>（二）若希望享受专利费用减缴，应在向国家知识产权局提交专利申请前，在专利费减备案系统进行专利费减备案。</w:t>
      </w:r>
    </w:p>
    <w:p>
      <w:pPr>
        <w:pStyle w:val="5"/>
        <w:spacing w:before="3" w:line="326" w:lineRule="auto"/>
        <w:ind w:left="0" w:firstLine="641"/>
        <w:rPr>
          <w:lang w:eastAsia="zh-CN"/>
        </w:rPr>
      </w:pPr>
      <w:r>
        <w:rPr>
          <w:lang w:eastAsia="zh-CN"/>
        </w:rPr>
        <w:t>（三）向国家知识产权局提交的专利申请文本与经</w:t>
      </w:r>
      <w:r>
        <w:rPr>
          <w:rFonts w:hint="eastAsia" w:ascii="仿宋" w:eastAsia="仿宋"/>
          <w:lang w:eastAsia="zh-CN"/>
        </w:rPr>
        <w:t>嘉兴</w:t>
      </w:r>
      <w:r>
        <w:rPr>
          <w:lang w:eastAsia="zh-CN"/>
        </w:rPr>
        <w:t>保护中心预审通过的专利申请文本实质一致。</w:t>
      </w:r>
    </w:p>
    <w:p>
      <w:pPr>
        <w:pStyle w:val="5"/>
        <w:spacing w:before="3"/>
        <w:ind w:left="0" w:firstLine="640" w:firstLineChars="200"/>
        <w:rPr>
          <w:lang w:eastAsia="zh-CN"/>
        </w:rPr>
      </w:pPr>
      <w:r>
        <w:rPr>
          <w:lang w:eastAsia="zh-CN"/>
        </w:rPr>
        <w:t>（四）对同一专利申请不向国家知识产权局进行重复提交。</w:t>
      </w:r>
    </w:p>
    <w:p>
      <w:pPr>
        <w:pStyle w:val="5"/>
        <w:spacing w:before="152" w:line="329" w:lineRule="auto"/>
        <w:ind w:left="0" w:firstLine="640" w:firstLineChars="200"/>
        <w:rPr>
          <w:lang w:eastAsia="zh-CN"/>
        </w:rPr>
      </w:pPr>
      <w:r>
        <w:rPr>
          <w:lang w:eastAsia="zh-CN"/>
        </w:rPr>
        <w:t>（五）经预审通过的专利申请，在国家知识产权局发出专利申请受理通知书起1个工作日内，完成下列费用的网上足额缴费：申请费（含附加费）、公布印刷费（仅限发明专利申请）、优</w:t>
      </w:r>
      <w:r>
        <w:rPr>
          <w:w w:val="99"/>
          <w:lang w:eastAsia="zh-CN"/>
        </w:rPr>
        <w:t>先权要求费（如实际发生）、实质审查费（仅限发明专利申请），</w:t>
      </w:r>
      <w:r>
        <w:rPr>
          <w:lang w:eastAsia="zh-CN"/>
        </w:rPr>
        <w:t>并向</w:t>
      </w:r>
      <w:r>
        <w:rPr>
          <w:rFonts w:hint="eastAsia" w:ascii="仿宋" w:eastAsia="仿宋"/>
          <w:lang w:eastAsia="zh-CN"/>
        </w:rPr>
        <w:t>嘉兴</w:t>
      </w:r>
      <w:r>
        <w:rPr>
          <w:lang w:eastAsia="zh-CN"/>
        </w:rPr>
        <w:t>保护中心反馈申请号、缴费凭证及受理通知书。</w:t>
      </w:r>
    </w:p>
    <w:p>
      <w:pPr>
        <w:pStyle w:val="5"/>
        <w:spacing w:line="326" w:lineRule="auto"/>
        <w:ind w:left="0" w:firstLine="640" w:firstLineChars="200"/>
        <w:rPr>
          <w:rFonts w:ascii="黑体" w:eastAsia="黑体"/>
          <w:lang w:eastAsia="zh-CN"/>
        </w:rPr>
      </w:pPr>
      <w:r>
        <w:rPr>
          <w:rFonts w:hint="eastAsia" w:ascii="黑体" w:eastAsia="黑体"/>
          <w:lang w:eastAsia="zh-CN"/>
        </w:rPr>
        <w:t>三、在专利申请预审通过后进入国家知识产权局快速审查程序阶段</w:t>
      </w:r>
    </w:p>
    <w:p>
      <w:pPr>
        <w:pStyle w:val="5"/>
        <w:spacing w:line="329" w:lineRule="auto"/>
        <w:ind w:left="0" w:firstLine="641"/>
        <w:rPr>
          <w:lang w:eastAsia="zh-CN"/>
        </w:rPr>
      </w:pPr>
      <w:r>
        <w:rPr>
          <w:w w:val="95"/>
          <w:lang w:eastAsia="zh-CN"/>
        </w:rPr>
        <w:t>（一</w:t>
      </w:r>
      <w:r>
        <w:rPr>
          <w:rFonts w:hint="eastAsia"/>
          <w:w w:val="95"/>
          <w:lang w:eastAsia="zh-CN"/>
        </w:rPr>
        <w:t>）</w:t>
      </w:r>
      <w:r>
        <w:rPr>
          <w:w w:val="95"/>
          <w:lang w:eastAsia="zh-CN"/>
        </w:rPr>
        <w:t>对于发明专利申请，针对国家知识产权局发出的第一、</w:t>
      </w:r>
      <w:r>
        <w:rPr>
          <w:lang w:eastAsia="zh-CN"/>
        </w:rPr>
        <w:t>二次审查意见通知书，分别在10个、5个工作日内提交符合要求的XML格式答复意见。对于实用新型专利申请，针对国家知识产权局发出的审查意见通知书，在5个工作日内提交符合要求的XML格式答复意见。</w:t>
      </w:r>
    </w:p>
    <w:p>
      <w:pPr>
        <w:pStyle w:val="5"/>
        <w:spacing w:line="329" w:lineRule="auto"/>
        <w:ind w:left="0" w:firstLine="641"/>
        <w:rPr>
          <w:lang w:eastAsia="zh-CN"/>
        </w:rPr>
      </w:pPr>
      <w:r>
        <w:rPr>
          <w:lang w:eastAsia="zh-CN"/>
        </w:rPr>
        <w:t>（二）在审查过程中，自愿放弃《专利法实施细则》第五十</w:t>
      </w:r>
      <w:r>
        <w:rPr>
          <w:rFonts w:hint="eastAsia"/>
          <w:lang w:eastAsia="zh-CN"/>
        </w:rPr>
        <w:t>七</w:t>
      </w:r>
      <w:r>
        <w:rPr>
          <w:lang w:eastAsia="zh-CN"/>
        </w:rPr>
        <w:t>条第一款和第二款所规定的对专利申请进行主动修改的权利。</w:t>
      </w:r>
    </w:p>
    <w:p>
      <w:pPr>
        <w:pStyle w:val="5"/>
        <w:spacing w:line="326" w:lineRule="auto"/>
        <w:ind w:left="0" w:firstLine="641"/>
        <w:rPr>
          <w:lang w:eastAsia="zh-CN"/>
        </w:rPr>
      </w:pPr>
      <w:r>
        <w:rPr>
          <w:lang w:eastAsia="zh-CN"/>
        </w:rPr>
        <w:t>（三）在专利申请办理授权登记前，自愿放弃提出著录项目变更请求的权利。</w:t>
      </w:r>
    </w:p>
    <w:p>
      <w:pPr>
        <w:pStyle w:val="5"/>
        <w:spacing w:line="326" w:lineRule="auto"/>
        <w:ind w:left="0" w:firstLine="641"/>
        <w:jc w:val="both"/>
        <w:rPr>
          <w:lang w:eastAsia="zh-CN"/>
        </w:rPr>
      </w:pPr>
      <w:r>
        <w:rPr>
          <w:lang w:eastAsia="zh-CN"/>
        </w:rPr>
        <w:t>（四）在专利申请授权后进行专利权转让的，在国家知识产权局核准的专利权转移登记生效日起2个月内向</w:t>
      </w:r>
      <w:r>
        <w:rPr>
          <w:rFonts w:hint="eastAsia" w:ascii="仿宋" w:eastAsia="仿宋"/>
          <w:lang w:eastAsia="zh-CN"/>
        </w:rPr>
        <w:t>嘉兴</w:t>
      </w:r>
      <w:r>
        <w:rPr>
          <w:lang w:eastAsia="zh-CN"/>
        </w:rPr>
        <w:t>保护中心提交报备材料，对转让理由进行合理说明。</w:t>
      </w:r>
    </w:p>
    <w:p>
      <w:pPr>
        <w:pStyle w:val="5"/>
        <w:ind w:left="0" w:firstLine="640" w:firstLineChars="200"/>
        <w:rPr>
          <w:lang w:eastAsia="zh-CN"/>
        </w:rPr>
      </w:pPr>
      <w:r>
        <w:rPr>
          <w:lang w:eastAsia="zh-CN"/>
        </w:rPr>
        <w:t>（五）积极配合国家知识产权局提出的讨论约请。</w:t>
      </w:r>
    </w:p>
    <w:p>
      <w:pPr>
        <w:pStyle w:val="5"/>
        <w:tabs>
          <w:tab w:val="left" w:pos="7507"/>
          <w:tab w:val="left" w:pos="8467"/>
        </w:tabs>
        <w:spacing w:line="328" w:lineRule="auto"/>
        <w:ind w:left="6112" w:right="633"/>
        <w:rPr>
          <w:w w:val="99"/>
          <w:lang w:eastAsia="zh-CN"/>
        </w:rPr>
      </w:pPr>
    </w:p>
    <w:p>
      <w:pPr>
        <w:pStyle w:val="5"/>
        <w:tabs>
          <w:tab w:val="left" w:pos="7507"/>
          <w:tab w:val="left" w:pos="8467"/>
        </w:tabs>
        <w:spacing w:line="328" w:lineRule="auto"/>
        <w:ind w:left="6112" w:right="633"/>
        <w:rPr>
          <w:w w:val="99"/>
          <w:lang w:eastAsia="zh-CN"/>
        </w:rPr>
      </w:pPr>
    </w:p>
    <w:p>
      <w:pPr>
        <w:pStyle w:val="5"/>
        <w:tabs>
          <w:tab w:val="left" w:pos="7507"/>
          <w:tab w:val="left" w:pos="8467"/>
        </w:tabs>
        <w:spacing w:line="328" w:lineRule="auto"/>
        <w:ind w:left="6112" w:right="633"/>
        <w:rPr>
          <w:w w:val="99"/>
          <w:lang w:eastAsia="zh-CN"/>
        </w:rPr>
      </w:pPr>
    </w:p>
    <w:p>
      <w:pPr>
        <w:pStyle w:val="5"/>
        <w:tabs>
          <w:tab w:val="left" w:pos="7507"/>
          <w:tab w:val="left" w:pos="8467"/>
        </w:tabs>
        <w:spacing w:line="328" w:lineRule="auto"/>
        <w:ind w:right="633"/>
        <w:jc w:val="center"/>
        <w:rPr>
          <w:w w:val="99"/>
          <w:lang w:eastAsia="zh-CN"/>
        </w:rPr>
      </w:pPr>
      <w:r>
        <w:rPr>
          <w:rFonts w:hint="eastAsia"/>
          <w:w w:val="99"/>
          <w:lang w:eastAsia="zh-CN"/>
        </w:rPr>
        <w:t>承诺单位名称：</w:t>
      </w:r>
    </w:p>
    <w:p>
      <w:pPr>
        <w:pStyle w:val="5"/>
        <w:tabs>
          <w:tab w:val="left" w:pos="7507"/>
          <w:tab w:val="left" w:pos="8467"/>
        </w:tabs>
        <w:spacing w:line="328" w:lineRule="auto"/>
        <w:ind w:left="627" w:leftChars="285" w:right="633" w:firstLine="2844" w:firstLineChars="900"/>
        <w:rPr>
          <w:w w:val="99"/>
          <w:lang w:eastAsia="zh-CN"/>
        </w:rPr>
      </w:pPr>
      <w:r>
        <w:rPr>
          <w:w w:val="99"/>
          <w:lang w:eastAsia="zh-CN"/>
        </w:rPr>
        <w:t>（加盖公章）</w:t>
      </w:r>
    </w:p>
    <w:p>
      <w:pPr>
        <w:pStyle w:val="5"/>
        <w:tabs>
          <w:tab w:val="left" w:pos="7507"/>
          <w:tab w:val="left" w:pos="8467"/>
        </w:tabs>
        <w:spacing w:line="328" w:lineRule="auto"/>
        <w:ind w:left="627" w:leftChars="285" w:right="633" w:firstLine="2844" w:firstLineChars="900"/>
        <w:rPr>
          <w:w w:val="99"/>
          <w:lang w:eastAsia="zh-CN"/>
        </w:rPr>
      </w:pPr>
    </w:p>
    <w:p>
      <w:pPr>
        <w:pStyle w:val="5"/>
        <w:tabs>
          <w:tab w:val="left" w:pos="7507"/>
          <w:tab w:val="left" w:pos="8467"/>
        </w:tabs>
        <w:wordWrap w:val="0"/>
        <w:spacing w:line="328" w:lineRule="auto"/>
        <w:ind w:left="627" w:leftChars="285" w:right="633" w:firstLine="320" w:firstLineChars="100"/>
        <w:jc w:val="right"/>
        <w:rPr>
          <w:lang w:eastAsia="zh-CN"/>
        </w:rPr>
      </w:pPr>
      <w:r>
        <w:rPr>
          <w:lang w:eastAsia="zh-CN"/>
        </w:rPr>
        <w:t>年</w:t>
      </w:r>
      <w:r>
        <w:rPr>
          <w:rFonts w:hint="eastAsia"/>
          <w:lang w:eastAsia="zh-CN"/>
        </w:rPr>
        <w:t xml:space="preserve">    </w:t>
      </w:r>
      <w:r>
        <w:rPr>
          <w:lang w:eastAsia="zh-CN"/>
        </w:rPr>
        <w:t>月</w:t>
      </w:r>
      <w:r>
        <w:rPr>
          <w:rFonts w:hint="eastAsia"/>
          <w:lang w:eastAsia="zh-CN"/>
        </w:rPr>
        <w:t xml:space="preserve">    </w:t>
      </w:r>
      <w:r>
        <w:rPr>
          <w:lang w:eastAsia="zh-CN"/>
        </w:rPr>
        <w:t>日</w:t>
      </w:r>
    </w:p>
    <w:p>
      <w:pPr>
        <w:spacing w:line="328" w:lineRule="auto"/>
        <w:rPr>
          <w:lang w:eastAsia="zh-CN"/>
        </w:rPr>
        <w:sectPr>
          <w:footerReference r:id="rId6" w:type="default"/>
          <w:pgSz w:w="11910" w:h="16840"/>
          <w:pgMar w:top="1797" w:right="1440" w:bottom="1797" w:left="1440" w:header="0" w:footer="1035" w:gutter="0"/>
          <w:cols w:space="720" w:num="1"/>
          <w:docGrid w:linePitch="299" w:charSpace="0"/>
        </w:sectPr>
      </w:pPr>
    </w:p>
    <w:p>
      <w:pPr>
        <w:pStyle w:val="5"/>
        <w:spacing w:before="54" w:line="381" w:lineRule="exact"/>
        <w:ind w:left="0"/>
        <w:rPr>
          <w:rFonts w:ascii="黑体" w:eastAsia="黑体"/>
          <w:lang w:eastAsia="zh-CN"/>
        </w:rPr>
        <w:sectPr>
          <w:pgSz w:w="11910" w:h="16840"/>
          <w:pgMar w:top="1797" w:right="1440" w:bottom="1797" w:left="1440" w:header="0" w:footer="1035" w:gutter="0"/>
          <w:cols w:space="720" w:num="1"/>
          <w:docGrid w:linePitch="299" w:charSpace="0"/>
        </w:sectPr>
      </w:pPr>
      <w:r>
        <w:rPr>
          <w:rFonts w:ascii="黑体" w:eastAsia="黑体"/>
          <w:lang w:eastAsia="zh-CN"/>
        </w:rPr>
        <w:t>附件</w:t>
      </w:r>
      <w:r>
        <w:rPr>
          <w:rFonts w:hint="eastAsia" w:ascii="黑体" w:eastAsia="黑体"/>
          <w:lang w:eastAsia="zh-CN"/>
        </w:rPr>
        <w:t>3：</w:t>
      </w:r>
    </w:p>
    <w:tbl>
      <w:tblPr>
        <w:tblStyle w:val="10"/>
        <w:tblpPr w:leftFromText="180" w:rightFromText="180" w:vertAnchor="page" w:horzAnchor="margin" w:tblpY="2581"/>
        <w:tblOverlap w:val="never"/>
        <w:tblW w:w="975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60"/>
        <w:gridCol w:w="71"/>
        <w:gridCol w:w="1363"/>
        <w:gridCol w:w="866"/>
        <w:gridCol w:w="1311"/>
        <w:gridCol w:w="1245"/>
        <w:gridCol w:w="1098"/>
        <w:gridCol w:w="1213"/>
        <w:gridCol w:w="102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3" w:hRule="atLeast"/>
        </w:trPr>
        <w:tc>
          <w:tcPr>
            <w:tcW w:w="9750" w:type="dxa"/>
            <w:gridSpan w:val="9"/>
            <w:tcBorders>
              <w:top w:val="nil"/>
              <w:left w:val="nil"/>
              <w:right w:val="nil"/>
            </w:tcBorders>
            <w:vAlign w:val="center"/>
          </w:tcPr>
          <w:p>
            <w:pPr>
              <w:pStyle w:val="2"/>
              <w:rPr>
                <w:lang w:eastAsia="zh-CN"/>
              </w:rPr>
            </w:pPr>
            <w:r>
              <w:rPr>
                <w:rFonts w:hint="eastAsia"/>
                <w:lang w:eastAsia="zh-CN"/>
              </w:rPr>
              <w:t>嘉兴市知识产权保护中心</w:t>
            </w:r>
          </w:p>
          <w:p>
            <w:pPr>
              <w:pStyle w:val="2"/>
              <w:rPr>
                <w:rFonts w:ascii="仿宋_GB2312" w:hAnsi="仿宋_GB2312" w:eastAsia="仿宋_GB2312" w:cs="仿宋_GB2312"/>
                <w:szCs w:val="22"/>
                <w:lang w:eastAsia="zh-CN"/>
              </w:rPr>
            </w:pPr>
            <w:r>
              <w:rPr>
                <w:rFonts w:hint="eastAsia"/>
                <w:lang w:eastAsia="zh-CN"/>
              </w:rPr>
              <w:t>专利代理机构登记表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0" w:hRule="atLeast"/>
        </w:trPr>
        <w:tc>
          <w:tcPr>
            <w:tcW w:w="9750" w:type="dxa"/>
            <w:gridSpan w:val="9"/>
          </w:tcPr>
          <w:p>
            <w:pPr>
              <w:spacing w:before="86"/>
              <w:ind w:left="3723" w:right="3710"/>
              <w:jc w:val="center"/>
              <w:rPr>
                <w:sz w:val="24"/>
              </w:rPr>
            </w:pPr>
            <w:r>
              <w:rPr>
                <w:sz w:val="24"/>
              </w:rPr>
              <w:t>机构基本信息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631" w:type="dxa"/>
            <w:gridSpan w:val="2"/>
            <w:vAlign w:val="center"/>
          </w:tcPr>
          <w:p>
            <w:pPr>
              <w:spacing w:before="85"/>
              <w:ind w:left="99" w:right="85"/>
              <w:jc w:val="center"/>
              <w:rPr>
                <w:sz w:val="24"/>
              </w:rPr>
            </w:pPr>
            <w:r>
              <w:rPr>
                <w:sz w:val="24"/>
              </w:rPr>
              <w:t>机构名称</w:t>
            </w:r>
          </w:p>
        </w:tc>
        <w:tc>
          <w:tcPr>
            <w:tcW w:w="3540" w:type="dxa"/>
            <w:gridSpan w:val="3"/>
            <w:vAlign w:val="center"/>
          </w:tcPr>
          <w:p>
            <w:pPr>
              <w:jc w:val="center"/>
              <w:rPr>
                <w:rFonts w:ascii="Times New Roman"/>
                <w:sz w:val="24"/>
              </w:rPr>
            </w:pPr>
          </w:p>
        </w:tc>
        <w:tc>
          <w:tcPr>
            <w:tcW w:w="2343" w:type="dxa"/>
            <w:gridSpan w:val="2"/>
            <w:vAlign w:val="center"/>
          </w:tcPr>
          <w:p>
            <w:pPr>
              <w:spacing w:before="85"/>
              <w:jc w:val="center"/>
              <w:rPr>
                <w:sz w:val="24"/>
              </w:rPr>
            </w:pPr>
            <w:r>
              <w:rPr>
                <w:sz w:val="24"/>
              </w:rPr>
              <w:t>机构代码</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1631" w:type="dxa"/>
            <w:gridSpan w:val="2"/>
            <w:vAlign w:val="center"/>
          </w:tcPr>
          <w:p>
            <w:pPr>
              <w:spacing w:before="2"/>
              <w:ind w:left="99" w:right="85"/>
              <w:jc w:val="center"/>
              <w:rPr>
                <w:sz w:val="24"/>
                <w:lang w:eastAsia="zh-CN"/>
              </w:rPr>
            </w:pPr>
            <w:r>
              <w:rPr>
                <w:sz w:val="24"/>
              </w:rPr>
              <w:t>统一社会</w:t>
            </w:r>
          </w:p>
          <w:p>
            <w:pPr>
              <w:spacing w:before="2"/>
              <w:ind w:left="99" w:right="85"/>
              <w:jc w:val="center"/>
              <w:rPr>
                <w:sz w:val="24"/>
              </w:rPr>
            </w:pPr>
            <w:r>
              <w:rPr>
                <w:sz w:val="24"/>
              </w:rPr>
              <w:t>信用代码</w:t>
            </w:r>
          </w:p>
        </w:tc>
        <w:tc>
          <w:tcPr>
            <w:tcW w:w="3540" w:type="dxa"/>
            <w:gridSpan w:val="3"/>
            <w:vAlign w:val="center"/>
          </w:tcPr>
          <w:p>
            <w:pPr>
              <w:jc w:val="center"/>
              <w:rPr>
                <w:rFonts w:ascii="Times New Roman"/>
                <w:sz w:val="24"/>
              </w:rPr>
            </w:pPr>
          </w:p>
        </w:tc>
        <w:tc>
          <w:tcPr>
            <w:tcW w:w="2343" w:type="dxa"/>
            <w:gridSpan w:val="2"/>
            <w:vAlign w:val="center"/>
          </w:tcPr>
          <w:p>
            <w:pPr>
              <w:spacing w:before="158"/>
              <w:jc w:val="center"/>
              <w:rPr>
                <w:sz w:val="24"/>
              </w:rPr>
            </w:pPr>
            <w:r>
              <w:rPr>
                <w:sz w:val="24"/>
              </w:rPr>
              <w:t>法定代表人</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631" w:type="dxa"/>
            <w:gridSpan w:val="2"/>
            <w:vAlign w:val="center"/>
          </w:tcPr>
          <w:p>
            <w:pPr>
              <w:spacing w:before="72"/>
              <w:ind w:left="99" w:right="85"/>
              <w:jc w:val="center"/>
              <w:rPr>
                <w:sz w:val="24"/>
              </w:rPr>
            </w:pPr>
            <w:r>
              <w:rPr>
                <w:sz w:val="24"/>
              </w:rPr>
              <w:t>通信地址</w:t>
            </w:r>
          </w:p>
        </w:tc>
        <w:tc>
          <w:tcPr>
            <w:tcW w:w="3540" w:type="dxa"/>
            <w:gridSpan w:val="3"/>
            <w:vAlign w:val="center"/>
          </w:tcPr>
          <w:p>
            <w:pPr>
              <w:jc w:val="center"/>
              <w:rPr>
                <w:rFonts w:ascii="Times New Roman"/>
                <w:sz w:val="24"/>
              </w:rPr>
            </w:pPr>
          </w:p>
        </w:tc>
        <w:tc>
          <w:tcPr>
            <w:tcW w:w="2343" w:type="dxa"/>
            <w:gridSpan w:val="2"/>
            <w:vAlign w:val="center"/>
          </w:tcPr>
          <w:p>
            <w:pPr>
              <w:spacing w:before="72"/>
              <w:ind w:left="191" w:right="180"/>
              <w:jc w:val="center"/>
              <w:rPr>
                <w:sz w:val="24"/>
              </w:rPr>
            </w:pPr>
            <w:r>
              <w:rPr>
                <w:sz w:val="24"/>
              </w:rPr>
              <w:t>邮编</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631" w:type="dxa"/>
            <w:gridSpan w:val="2"/>
            <w:vAlign w:val="center"/>
          </w:tcPr>
          <w:p>
            <w:pPr>
              <w:spacing w:before="73"/>
              <w:ind w:left="99" w:right="85"/>
              <w:jc w:val="center"/>
              <w:rPr>
                <w:sz w:val="24"/>
              </w:rPr>
            </w:pPr>
            <w:r>
              <w:rPr>
                <w:sz w:val="24"/>
              </w:rPr>
              <w:t>注册地址</w:t>
            </w:r>
          </w:p>
        </w:tc>
        <w:tc>
          <w:tcPr>
            <w:tcW w:w="3540" w:type="dxa"/>
            <w:gridSpan w:val="3"/>
            <w:vAlign w:val="center"/>
          </w:tcPr>
          <w:p>
            <w:pPr>
              <w:jc w:val="center"/>
              <w:rPr>
                <w:rFonts w:ascii="Times New Roman"/>
                <w:sz w:val="24"/>
              </w:rPr>
            </w:pPr>
          </w:p>
        </w:tc>
        <w:tc>
          <w:tcPr>
            <w:tcW w:w="2343" w:type="dxa"/>
            <w:gridSpan w:val="2"/>
            <w:vAlign w:val="center"/>
          </w:tcPr>
          <w:p>
            <w:pPr>
              <w:spacing w:before="73"/>
              <w:jc w:val="center"/>
              <w:rPr>
                <w:sz w:val="24"/>
              </w:rPr>
            </w:pPr>
            <w:r>
              <w:rPr>
                <w:sz w:val="24"/>
              </w:rPr>
              <w:t>机构性质</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3" w:hRule="atLeast"/>
        </w:trPr>
        <w:tc>
          <w:tcPr>
            <w:tcW w:w="1631" w:type="dxa"/>
            <w:gridSpan w:val="2"/>
            <w:vAlign w:val="center"/>
          </w:tcPr>
          <w:p>
            <w:pPr>
              <w:spacing w:before="72"/>
              <w:ind w:left="99" w:right="85"/>
              <w:jc w:val="center"/>
              <w:rPr>
                <w:sz w:val="24"/>
              </w:rPr>
            </w:pPr>
            <w:r>
              <w:rPr>
                <w:sz w:val="24"/>
              </w:rPr>
              <w:t>联系人</w:t>
            </w:r>
          </w:p>
        </w:tc>
        <w:tc>
          <w:tcPr>
            <w:tcW w:w="3540" w:type="dxa"/>
            <w:gridSpan w:val="3"/>
            <w:vAlign w:val="center"/>
          </w:tcPr>
          <w:p>
            <w:pPr>
              <w:jc w:val="center"/>
              <w:rPr>
                <w:rFonts w:ascii="Times New Roman"/>
                <w:sz w:val="24"/>
              </w:rPr>
            </w:pPr>
          </w:p>
        </w:tc>
        <w:tc>
          <w:tcPr>
            <w:tcW w:w="2343" w:type="dxa"/>
            <w:gridSpan w:val="2"/>
            <w:vAlign w:val="center"/>
          </w:tcPr>
          <w:p>
            <w:pPr>
              <w:spacing w:before="72"/>
              <w:ind w:left="571"/>
              <w:rPr>
                <w:sz w:val="24"/>
              </w:rPr>
            </w:pPr>
            <w:r>
              <w:rPr>
                <w:sz w:val="24"/>
              </w:rPr>
              <w:t>手机号码</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3" w:hRule="atLeast"/>
        </w:trPr>
        <w:tc>
          <w:tcPr>
            <w:tcW w:w="1631" w:type="dxa"/>
            <w:gridSpan w:val="2"/>
            <w:vAlign w:val="center"/>
          </w:tcPr>
          <w:p>
            <w:pPr>
              <w:spacing w:before="71"/>
              <w:ind w:left="99" w:right="85"/>
              <w:jc w:val="center"/>
              <w:rPr>
                <w:sz w:val="24"/>
              </w:rPr>
            </w:pPr>
            <w:r>
              <w:rPr>
                <w:sz w:val="24"/>
              </w:rPr>
              <w:t>固定电话</w:t>
            </w:r>
          </w:p>
        </w:tc>
        <w:tc>
          <w:tcPr>
            <w:tcW w:w="3540" w:type="dxa"/>
            <w:gridSpan w:val="3"/>
            <w:vAlign w:val="center"/>
          </w:tcPr>
          <w:p>
            <w:pPr>
              <w:jc w:val="center"/>
              <w:rPr>
                <w:rFonts w:ascii="Times New Roman"/>
                <w:sz w:val="24"/>
              </w:rPr>
            </w:pPr>
          </w:p>
        </w:tc>
        <w:tc>
          <w:tcPr>
            <w:tcW w:w="2343" w:type="dxa"/>
            <w:gridSpan w:val="2"/>
            <w:vAlign w:val="center"/>
          </w:tcPr>
          <w:p>
            <w:pPr>
              <w:spacing w:before="71"/>
              <w:jc w:val="center"/>
              <w:rPr>
                <w:sz w:val="24"/>
              </w:rPr>
            </w:pPr>
            <w:r>
              <w:rPr>
                <w:sz w:val="24"/>
              </w:rPr>
              <w:t>电子邮箱</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1631" w:type="dxa"/>
            <w:gridSpan w:val="2"/>
            <w:vAlign w:val="center"/>
          </w:tcPr>
          <w:p>
            <w:pPr>
              <w:spacing w:before="156"/>
              <w:ind w:left="99" w:right="85"/>
              <w:jc w:val="center"/>
              <w:rPr>
                <w:sz w:val="24"/>
              </w:rPr>
            </w:pPr>
            <w:r>
              <w:rPr>
                <w:sz w:val="24"/>
              </w:rPr>
              <w:t>单位人数</w:t>
            </w:r>
          </w:p>
        </w:tc>
        <w:tc>
          <w:tcPr>
            <w:tcW w:w="3540" w:type="dxa"/>
            <w:gridSpan w:val="3"/>
            <w:vAlign w:val="center"/>
          </w:tcPr>
          <w:p>
            <w:pPr>
              <w:jc w:val="center"/>
              <w:rPr>
                <w:rFonts w:ascii="Times New Roman"/>
                <w:sz w:val="24"/>
              </w:rPr>
            </w:pPr>
          </w:p>
        </w:tc>
        <w:tc>
          <w:tcPr>
            <w:tcW w:w="2343" w:type="dxa"/>
            <w:gridSpan w:val="2"/>
            <w:vAlign w:val="center"/>
          </w:tcPr>
          <w:p>
            <w:pPr>
              <w:ind w:left="191" w:right="180"/>
              <w:jc w:val="center"/>
              <w:rPr>
                <w:sz w:val="24"/>
              </w:rPr>
            </w:pPr>
            <w:r>
              <w:rPr>
                <w:sz w:val="24"/>
              </w:rPr>
              <w:t>执业专利代理师</w:t>
            </w:r>
          </w:p>
          <w:p>
            <w:pPr>
              <w:spacing w:before="5" w:line="289" w:lineRule="exact"/>
              <w:ind w:left="191" w:right="180"/>
              <w:jc w:val="center"/>
              <w:rPr>
                <w:sz w:val="24"/>
              </w:rPr>
            </w:pPr>
            <w:r>
              <w:rPr>
                <w:sz w:val="24"/>
              </w:rPr>
              <w:t>人数</w:t>
            </w:r>
          </w:p>
        </w:tc>
        <w:tc>
          <w:tcPr>
            <w:tcW w:w="2236" w:type="dxa"/>
            <w:gridSpan w:val="2"/>
            <w:vAlign w:val="center"/>
          </w:tcPr>
          <w:p>
            <w:pPr>
              <w:jc w:val="cente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2994" w:type="dxa"/>
            <w:gridSpan w:val="3"/>
          </w:tcPr>
          <w:p>
            <w:pPr>
              <w:spacing w:before="2"/>
              <w:ind w:left="142" w:right="126"/>
              <w:jc w:val="center"/>
              <w:rPr>
                <w:sz w:val="24"/>
                <w:lang w:eastAsia="zh-CN"/>
              </w:rPr>
            </w:pPr>
            <w:r>
              <w:rPr>
                <w:sz w:val="24"/>
                <w:lang w:eastAsia="zh-CN"/>
              </w:rPr>
              <w:t>上年度代理专利申请</w:t>
            </w:r>
          </w:p>
          <w:p>
            <w:pPr>
              <w:spacing w:before="2"/>
              <w:ind w:left="142" w:right="126"/>
              <w:jc w:val="center"/>
              <w:rPr>
                <w:sz w:val="24"/>
                <w:lang w:eastAsia="zh-CN"/>
              </w:rPr>
            </w:pPr>
            <w:r>
              <w:rPr>
                <w:sz w:val="24"/>
                <w:lang w:eastAsia="zh-CN"/>
              </w:rPr>
              <w:t>数量（件）</w:t>
            </w:r>
          </w:p>
        </w:tc>
        <w:tc>
          <w:tcPr>
            <w:tcW w:w="866" w:type="dxa"/>
          </w:tcPr>
          <w:p>
            <w:pPr>
              <w:spacing w:before="158"/>
              <w:ind w:right="175"/>
              <w:jc w:val="right"/>
              <w:rPr>
                <w:sz w:val="24"/>
              </w:rPr>
            </w:pPr>
            <w:r>
              <w:rPr>
                <w:sz w:val="24"/>
              </w:rPr>
              <w:t>发明</w:t>
            </w:r>
          </w:p>
        </w:tc>
        <w:tc>
          <w:tcPr>
            <w:tcW w:w="1311" w:type="dxa"/>
          </w:tcPr>
          <w:p>
            <w:pPr>
              <w:rPr>
                <w:rFonts w:ascii="Times New Roman"/>
                <w:sz w:val="24"/>
              </w:rPr>
            </w:pPr>
          </w:p>
        </w:tc>
        <w:tc>
          <w:tcPr>
            <w:tcW w:w="1245" w:type="dxa"/>
          </w:tcPr>
          <w:p>
            <w:pPr>
              <w:spacing w:before="158"/>
              <w:ind w:right="131"/>
              <w:jc w:val="right"/>
              <w:rPr>
                <w:sz w:val="24"/>
              </w:rPr>
            </w:pPr>
            <w:r>
              <w:rPr>
                <w:sz w:val="24"/>
              </w:rPr>
              <w:t>实用新型</w:t>
            </w:r>
          </w:p>
        </w:tc>
        <w:tc>
          <w:tcPr>
            <w:tcW w:w="1098" w:type="dxa"/>
          </w:tcPr>
          <w:p>
            <w:pPr>
              <w:rPr>
                <w:rFonts w:ascii="Times New Roman"/>
                <w:sz w:val="24"/>
              </w:rPr>
            </w:pPr>
          </w:p>
        </w:tc>
        <w:tc>
          <w:tcPr>
            <w:tcW w:w="1213" w:type="dxa"/>
          </w:tcPr>
          <w:p>
            <w:pPr>
              <w:spacing w:before="158"/>
              <w:ind w:left="125"/>
              <w:rPr>
                <w:sz w:val="24"/>
              </w:rPr>
            </w:pPr>
            <w:r>
              <w:rPr>
                <w:sz w:val="24"/>
              </w:rPr>
              <w:t>外观设计</w:t>
            </w:r>
          </w:p>
        </w:tc>
        <w:tc>
          <w:tcPr>
            <w:tcW w:w="1023" w:type="dxa"/>
          </w:tcPr>
          <w:p>
            <w:pP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2994" w:type="dxa"/>
            <w:gridSpan w:val="3"/>
          </w:tcPr>
          <w:p>
            <w:pPr>
              <w:ind w:left="142" w:right="126"/>
              <w:jc w:val="center"/>
              <w:rPr>
                <w:sz w:val="24"/>
                <w:lang w:eastAsia="zh-CN"/>
              </w:rPr>
            </w:pPr>
            <w:r>
              <w:rPr>
                <w:sz w:val="24"/>
                <w:lang w:eastAsia="zh-CN"/>
              </w:rPr>
              <w:t>上年度代理专利的授权</w:t>
            </w:r>
          </w:p>
          <w:p>
            <w:pPr>
              <w:spacing w:before="4" w:line="290" w:lineRule="exact"/>
              <w:ind w:left="142" w:right="126"/>
              <w:jc w:val="center"/>
              <w:rPr>
                <w:sz w:val="24"/>
                <w:lang w:eastAsia="zh-CN"/>
              </w:rPr>
            </w:pPr>
            <w:r>
              <w:rPr>
                <w:sz w:val="24"/>
                <w:lang w:eastAsia="zh-CN"/>
              </w:rPr>
              <w:t>数量（件）</w:t>
            </w:r>
          </w:p>
        </w:tc>
        <w:tc>
          <w:tcPr>
            <w:tcW w:w="866" w:type="dxa"/>
          </w:tcPr>
          <w:p>
            <w:pPr>
              <w:spacing w:before="156"/>
              <w:ind w:right="175"/>
              <w:jc w:val="right"/>
              <w:rPr>
                <w:sz w:val="24"/>
              </w:rPr>
            </w:pPr>
            <w:r>
              <w:rPr>
                <w:sz w:val="24"/>
              </w:rPr>
              <w:t>发明</w:t>
            </w:r>
          </w:p>
        </w:tc>
        <w:tc>
          <w:tcPr>
            <w:tcW w:w="1311" w:type="dxa"/>
          </w:tcPr>
          <w:p>
            <w:pPr>
              <w:rPr>
                <w:rFonts w:ascii="Times New Roman"/>
                <w:sz w:val="24"/>
              </w:rPr>
            </w:pPr>
          </w:p>
        </w:tc>
        <w:tc>
          <w:tcPr>
            <w:tcW w:w="1245" w:type="dxa"/>
          </w:tcPr>
          <w:p>
            <w:pPr>
              <w:spacing w:before="156"/>
              <w:ind w:right="131"/>
              <w:jc w:val="right"/>
              <w:rPr>
                <w:sz w:val="24"/>
              </w:rPr>
            </w:pPr>
            <w:r>
              <w:rPr>
                <w:sz w:val="24"/>
              </w:rPr>
              <w:t>实用新型</w:t>
            </w:r>
          </w:p>
        </w:tc>
        <w:tc>
          <w:tcPr>
            <w:tcW w:w="1098" w:type="dxa"/>
          </w:tcPr>
          <w:p>
            <w:pPr>
              <w:rPr>
                <w:rFonts w:ascii="Times New Roman"/>
                <w:sz w:val="24"/>
              </w:rPr>
            </w:pPr>
          </w:p>
        </w:tc>
        <w:tc>
          <w:tcPr>
            <w:tcW w:w="1213" w:type="dxa"/>
          </w:tcPr>
          <w:p>
            <w:pPr>
              <w:spacing w:before="156"/>
              <w:ind w:left="125"/>
              <w:rPr>
                <w:sz w:val="24"/>
              </w:rPr>
            </w:pPr>
            <w:r>
              <w:rPr>
                <w:sz w:val="24"/>
              </w:rPr>
              <w:t>外观设计</w:t>
            </w:r>
          </w:p>
        </w:tc>
        <w:tc>
          <w:tcPr>
            <w:tcW w:w="1023" w:type="dxa"/>
          </w:tcPr>
          <w:p>
            <w:pPr>
              <w:rPr>
                <w:rFonts w:ascii="Times New Roman"/>
                <w:sz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2" w:hRule="atLeast"/>
        </w:trPr>
        <w:tc>
          <w:tcPr>
            <w:tcW w:w="1560" w:type="dxa"/>
            <w:vAlign w:val="center"/>
          </w:tcPr>
          <w:p>
            <w:pPr>
              <w:spacing w:before="1"/>
              <w:ind w:left="179"/>
              <w:jc w:val="center"/>
              <w:rPr>
                <w:sz w:val="24"/>
                <w:lang w:eastAsia="zh-CN"/>
              </w:rPr>
            </w:pPr>
            <w:r>
              <w:rPr>
                <w:sz w:val="24"/>
                <w:lang w:eastAsia="zh-CN"/>
              </w:rPr>
              <w:t>代理专利申</w:t>
            </w:r>
          </w:p>
          <w:p>
            <w:pPr>
              <w:spacing w:before="5" w:line="290" w:lineRule="exact"/>
              <w:ind w:left="179"/>
              <w:jc w:val="center"/>
              <w:rPr>
                <w:sz w:val="24"/>
                <w:lang w:eastAsia="zh-CN"/>
              </w:rPr>
            </w:pPr>
            <w:r>
              <w:rPr>
                <w:sz w:val="24"/>
                <w:lang w:eastAsia="zh-CN"/>
              </w:rPr>
              <w:t>请获奖情况</w:t>
            </w:r>
          </w:p>
        </w:tc>
        <w:tc>
          <w:tcPr>
            <w:tcW w:w="1434" w:type="dxa"/>
            <w:gridSpan w:val="2"/>
            <w:vAlign w:val="center"/>
          </w:tcPr>
          <w:p>
            <w:pPr>
              <w:spacing w:before="1"/>
              <w:ind w:right="129"/>
              <w:jc w:val="center"/>
              <w:rPr>
                <w:sz w:val="24"/>
              </w:rPr>
            </w:pPr>
            <w:r>
              <w:rPr>
                <w:sz w:val="24"/>
              </w:rPr>
              <w:t>中国专利奖</w:t>
            </w:r>
          </w:p>
        </w:tc>
        <w:tc>
          <w:tcPr>
            <w:tcW w:w="2177" w:type="dxa"/>
            <w:gridSpan w:val="2"/>
            <w:vAlign w:val="center"/>
          </w:tcPr>
          <w:p>
            <w:pPr>
              <w:spacing w:before="157"/>
              <w:jc w:val="right"/>
              <w:rPr>
                <w:sz w:val="24"/>
              </w:rPr>
            </w:pPr>
            <w:r>
              <w:rPr>
                <w:sz w:val="24"/>
              </w:rPr>
              <w:t>（项）</w:t>
            </w:r>
          </w:p>
        </w:tc>
        <w:tc>
          <w:tcPr>
            <w:tcW w:w="2343" w:type="dxa"/>
            <w:gridSpan w:val="2"/>
            <w:vAlign w:val="center"/>
          </w:tcPr>
          <w:p>
            <w:pPr>
              <w:spacing w:before="157"/>
              <w:ind w:left="391"/>
              <w:jc w:val="center"/>
              <w:rPr>
                <w:sz w:val="24"/>
              </w:rPr>
            </w:pPr>
            <w:r>
              <w:rPr>
                <w:sz w:val="24"/>
              </w:rPr>
              <w:t>省市区专利奖</w:t>
            </w:r>
          </w:p>
        </w:tc>
        <w:tc>
          <w:tcPr>
            <w:tcW w:w="2236" w:type="dxa"/>
            <w:gridSpan w:val="2"/>
            <w:vAlign w:val="center"/>
          </w:tcPr>
          <w:p>
            <w:pPr>
              <w:spacing w:before="157"/>
              <w:ind w:left="1335"/>
              <w:jc w:val="right"/>
              <w:rPr>
                <w:sz w:val="24"/>
              </w:rPr>
            </w:pPr>
            <w:r>
              <w:rPr>
                <w:sz w:val="24"/>
              </w:rPr>
              <w:t>（项）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3" w:hRule="atLeast"/>
        </w:trPr>
        <w:tc>
          <w:tcPr>
            <w:tcW w:w="9750" w:type="dxa"/>
            <w:gridSpan w:val="9"/>
          </w:tcPr>
          <w:p>
            <w:pPr>
              <w:spacing w:before="107"/>
              <w:ind w:left="3723" w:right="3710"/>
              <w:jc w:val="center"/>
              <w:rPr>
                <w:sz w:val="24"/>
                <w:lang w:eastAsia="zh-CN"/>
              </w:rPr>
            </w:pPr>
            <w:r>
              <w:rPr>
                <w:sz w:val="24"/>
              </w:rPr>
              <w:t>声明（必须确认</w:t>
            </w:r>
            <w:r>
              <w:rPr>
                <w:rFonts w:hint="eastAsia"/>
                <w:sz w:val="24"/>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8" w:hRule="atLeast"/>
        </w:trPr>
        <w:tc>
          <w:tcPr>
            <w:tcW w:w="9750" w:type="dxa"/>
            <w:gridSpan w:val="9"/>
            <w:vAlign w:val="center"/>
          </w:tcPr>
          <w:p>
            <w:pPr>
              <w:ind w:left="107"/>
              <w:jc w:val="both"/>
              <w:rPr>
                <w:sz w:val="24"/>
                <w:lang w:eastAsia="zh-CN"/>
              </w:rPr>
            </w:pPr>
            <w:r>
              <w:rPr>
                <w:sz w:val="24"/>
                <w:lang w:eastAsia="zh-CN"/>
              </w:rPr>
              <w:t>□提交材料均真实、合法、有效。如有不实之处，愿负相应法律责任。</w:t>
            </w:r>
          </w:p>
          <w:p>
            <w:pPr>
              <w:spacing w:before="5"/>
              <w:ind w:left="107"/>
              <w:jc w:val="both"/>
              <w:rPr>
                <w:sz w:val="24"/>
                <w:lang w:eastAsia="zh-CN"/>
              </w:rPr>
            </w:pPr>
            <w:r>
              <w:rPr>
                <w:sz w:val="24"/>
                <w:lang w:eastAsia="zh-CN"/>
              </w:rPr>
              <w:t>□提交并遵守《</w:t>
            </w:r>
            <w:r>
              <w:rPr>
                <w:rFonts w:hint="eastAsia"/>
                <w:sz w:val="24"/>
                <w:lang w:eastAsia="zh-CN"/>
              </w:rPr>
              <w:t>嘉兴市</w:t>
            </w:r>
            <w:r>
              <w:rPr>
                <w:sz w:val="24"/>
                <w:lang w:eastAsia="zh-CN"/>
              </w:rPr>
              <w:t>知识产权保护中心专利预审承诺书》。</w:t>
            </w:r>
          </w:p>
          <w:p>
            <w:pPr>
              <w:spacing w:before="2" w:line="291" w:lineRule="exact"/>
              <w:ind w:left="107"/>
              <w:jc w:val="both"/>
              <w:rPr>
                <w:sz w:val="24"/>
                <w:lang w:eastAsia="zh-CN"/>
              </w:rPr>
            </w:pPr>
            <w:r>
              <w:rPr>
                <w:sz w:val="24"/>
                <w:lang w:eastAsia="zh-CN"/>
              </w:rPr>
              <w:t>□遵守相关知识产权法律法规。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0" w:hRule="atLeast"/>
        </w:trPr>
        <w:tc>
          <w:tcPr>
            <w:tcW w:w="9750" w:type="dxa"/>
            <w:gridSpan w:val="9"/>
          </w:tcPr>
          <w:p>
            <w:pPr>
              <w:spacing w:before="3" w:line="360" w:lineRule="auto"/>
              <w:ind w:left="107"/>
              <w:rPr>
                <w:sz w:val="24"/>
                <w:lang w:eastAsia="zh-CN"/>
              </w:rPr>
            </w:pPr>
            <w:r>
              <w:rPr>
                <w:sz w:val="24"/>
                <w:lang w:eastAsia="zh-CN"/>
              </w:rPr>
              <w:t>*单位加盖公章：</w:t>
            </w:r>
          </w:p>
          <w:p>
            <w:pPr>
              <w:rPr>
                <w:rFonts w:ascii="方正小标宋简体"/>
                <w:sz w:val="24"/>
                <w:lang w:eastAsia="zh-CN"/>
              </w:rPr>
            </w:pPr>
          </w:p>
          <w:p>
            <w:pPr>
              <w:rPr>
                <w:rFonts w:ascii="方正小标宋简体"/>
                <w:sz w:val="24"/>
                <w:lang w:eastAsia="zh-CN"/>
              </w:rPr>
            </w:pPr>
          </w:p>
          <w:p>
            <w:pPr>
              <w:rPr>
                <w:rFonts w:ascii="方正小标宋简体"/>
                <w:sz w:val="24"/>
                <w:lang w:eastAsia="zh-CN"/>
              </w:rPr>
            </w:pPr>
          </w:p>
          <w:p>
            <w:pPr>
              <w:spacing w:before="15"/>
              <w:rPr>
                <w:rFonts w:ascii="方正小标宋简体"/>
                <w:sz w:val="20"/>
                <w:lang w:eastAsia="zh-CN"/>
              </w:rPr>
            </w:pPr>
          </w:p>
          <w:p>
            <w:pPr>
              <w:tabs>
                <w:tab w:val="left" w:pos="599"/>
                <w:tab w:val="left" w:pos="1319"/>
              </w:tabs>
              <w:spacing w:before="1" w:line="289" w:lineRule="exact"/>
              <w:ind w:right="883"/>
              <w:jc w:val="right"/>
              <w:rPr>
                <w:sz w:val="24"/>
                <w:lang w:eastAsia="zh-CN"/>
              </w:rPr>
            </w:pPr>
            <w:r>
              <w:rPr>
                <w:sz w:val="24"/>
                <w:lang w:eastAsia="zh-CN"/>
              </w:rPr>
              <w:t>年</w:t>
            </w:r>
            <w:r>
              <w:rPr>
                <w:sz w:val="24"/>
                <w:lang w:eastAsia="zh-CN"/>
              </w:rPr>
              <w:tab/>
            </w:r>
            <w:r>
              <w:rPr>
                <w:sz w:val="24"/>
                <w:lang w:eastAsia="zh-CN"/>
              </w:rPr>
              <w:t>月</w:t>
            </w:r>
            <w:r>
              <w:rPr>
                <w:sz w:val="24"/>
                <w:lang w:eastAsia="zh-CN"/>
              </w:rPr>
              <w:tab/>
            </w:r>
            <w:r>
              <w:rPr>
                <w:sz w:val="24"/>
                <w:lang w:eastAsia="zh-CN"/>
              </w:rPr>
              <w:t>日</w:t>
            </w:r>
          </w:p>
          <w:p>
            <w:pPr>
              <w:tabs>
                <w:tab w:val="left" w:pos="599"/>
                <w:tab w:val="left" w:pos="1319"/>
              </w:tabs>
              <w:spacing w:before="1" w:line="289" w:lineRule="exact"/>
              <w:ind w:right="883"/>
              <w:jc w:val="both"/>
              <w:rPr>
                <w:sz w:val="24"/>
                <w:lang w:eastAsia="zh-CN"/>
              </w:rPr>
            </w:pPr>
          </w:p>
        </w:tc>
      </w:tr>
    </w:tbl>
    <w:p>
      <w:pPr>
        <w:pStyle w:val="5"/>
        <w:spacing w:before="54" w:line="381" w:lineRule="exact"/>
        <w:ind w:left="0"/>
        <w:rPr>
          <w:rFonts w:ascii="黑体" w:eastAsia="黑体"/>
          <w:lang w:eastAsia="zh-CN"/>
        </w:rPr>
      </w:pPr>
      <w:r>
        <w:rPr>
          <w:rFonts w:hint="eastAsia" w:ascii="黑体" w:eastAsia="黑体"/>
          <w:lang w:eastAsia="zh-CN"/>
        </w:rPr>
        <w:t>附件4：</w:t>
      </w:r>
    </w:p>
    <w:tbl>
      <w:tblPr>
        <w:tblStyle w:val="10"/>
        <w:tblpPr w:leftFromText="180" w:rightFromText="180" w:vertAnchor="text" w:horzAnchor="margin" w:tblpY="290"/>
        <w:tblOverlap w:val="never"/>
        <w:tblW w:w="97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50"/>
        <w:gridCol w:w="2091"/>
        <w:gridCol w:w="2368"/>
        <w:gridCol w:w="23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5" w:hRule="atLeast"/>
        </w:trPr>
        <w:tc>
          <w:tcPr>
            <w:tcW w:w="9765" w:type="dxa"/>
            <w:gridSpan w:val="4"/>
            <w:tcBorders>
              <w:top w:val="nil"/>
              <w:left w:val="nil"/>
              <w:right w:val="nil"/>
            </w:tcBorders>
          </w:tcPr>
          <w:p>
            <w:pPr>
              <w:pStyle w:val="2"/>
              <w:rPr>
                <w:lang w:eastAsia="zh-CN"/>
              </w:rPr>
            </w:pPr>
            <w:r>
              <w:rPr>
                <w:rFonts w:hint="eastAsia"/>
                <w:lang w:eastAsia="zh-CN"/>
              </w:rPr>
              <w:t>嘉兴市知识产权保护中心</w:t>
            </w:r>
          </w:p>
          <w:p>
            <w:pPr>
              <w:pStyle w:val="2"/>
              <w:rPr>
                <w:rFonts w:ascii="Times New Roman" w:hAnsi="仿宋_GB2312" w:eastAsia="仿宋_GB2312" w:cs="仿宋_GB2312"/>
                <w:sz w:val="30"/>
                <w:szCs w:val="22"/>
              </w:rPr>
            </w:pPr>
            <w:r>
              <w:rPr>
                <w:rFonts w:hint="eastAsia"/>
                <w:lang w:eastAsia="zh-CN"/>
              </w:rPr>
              <w:t>专利权转让报备表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950" w:type="dxa"/>
            <w:vAlign w:val="center"/>
          </w:tcPr>
          <w:p>
            <w:pPr>
              <w:spacing w:before="169"/>
              <w:ind w:left="365" w:right="355"/>
              <w:jc w:val="center"/>
              <w:rPr>
                <w:sz w:val="24"/>
                <w:szCs w:val="24"/>
              </w:rPr>
            </w:pPr>
            <w:r>
              <w:rPr>
                <w:rFonts w:hint="eastAsia"/>
                <w:sz w:val="24"/>
                <w:szCs w:val="24"/>
              </w:rPr>
              <w:t>预审案件号</w:t>
            </w:r>
          </w:p>
        </w:tc>
        <w:tc>
          <w:tcPr>
            <w:tcW w:w="2091" w:type="dxa"/>
            <w:vAlign w:val="center"/>
          </w:tcPr>
          <w:p>
            <w:pPr>
              <w:jc w:val="center"/>
              <w:rPr>
                <w:sz w:val="24"/>
                <w:szCs w:val="24"/>
              </w:rPr>
            </w:pPr>
          </w:p>
        </w:tc>
        <w:tc>
          <w:tcPr>
            <w:tcW w:w="2368" w:type="dxa"/>
            <w:vAlign w:val="center"/>
          </w:tcPr>
          <w:p>
            <w:pPr>
              <w:spacing w:before="169"/>
              <w:ind w:left="465" w:right="453"/>
              <w:jc w:val="center"/>
              <w:rPr>
                <w:sz w:val="24"/>
                <w:szCs w:val="24"/>
              </w:rPr>
            </w:pPr>
            <w:r>
              <w:rPr>
                <w:rFonts w:hint="eastAsia"/>
                <w:sz w:val="24"/>
                <w:szCs w:val="24"/>
              </w:rPr>
              <w:t>专利申请号</w:t>
            </w:r>
          </w:p>
        </w:tc>
        <w:tc>
          <w:tcPr>
            <w:tcW w:w="2356" w:type="dxa"/>
            <w:vAlign w:val="center"/>
          </w:tcPr>
          <w:p>
            <w:pPr>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2950" w:type="dxa"/>
            <w:vAlign w:val="center"/>
          </w:tcPr>
          <w:p>
            <w:pPr>
              <w:spacing w:before="170"/>
              <w:ind w:left="363" w:right="355"/>
              <w:jc w:val="center"/>
              <w:rPr>
                <w:sz w:val="24"/>
                <w:szCs w:val="24"/>
              </w:rPr>
            </w:pPr>
            <w:r>
              <w:rPr>
                <w:rFonts w:hint="eastAsia"/>
                <w:sz w:val="24"/>
                <w:szCs w:val="24"/>
              </w:rPr>
              <w:t>发明名称</w:t>
            </w:r>
          </w:p>
        </w:tc>
        <w:tc>
          <w:tcPr>
            <w:tcW w:w="2091" w:type="dxa"/>
            <w:vAlign w:val="center"/>
          </w:tcPr>
          <w:p>
            <w:pPr>
              <w:jc w:val="center"/>
              <w:rPr>
                <w:sz w:val="24"/>
                <w:szCs w:val="24"/>
              </w:rPr>
            </w:pPr>
          </w:p>
        </w:tc>
        <w:tc>
          <w:tcPr>
            <w:tcW w:w="2368" w:type="dxa"/>
            <w:vAlign w:val="center"/>
          </w:tcPr>
          <w:p>
            <w:pPr>
              <w:spacing w:before="2" w:line="320" w:lineRule="exact"/>
              <w:ind w:left="765" w:right="193" w:hanging="561"/>
              <w:jc w:val="center"/>
              <w:rPr>
                <w:sz w:val="24"/>
                <w:szCs w:val="24"/>
                <w:lang w:eastAsia="zh-CN"/>
              </w:rPr>
            </w:pPr>
            <w:r>
              <w:rPr>
                <w:rFonts w:hint="eastAsia"/>
                <w:sz w:val="24"/>
                <w:szCs w:val="24"/>
                <w:lang w:eastAsia="zh-CN"/>
              </w:rPr>
              <w:t>专利权转移登记</w:t>
            </w:r>
          </w:p>
          <w:p>
            <w:pPr>
              <w:spacing w:before="2" w:line="320" w:lineRule="exact"/>
              <w:ind w:left="765" w:right="193" w:hanging="561"/>
              <w:jc w:val="center"/>
              <w:rPr>
                <w:sz w:val="24"/>
                <w:szCs w:val="24"/>
                <w:lang w:eastAsia="zh-CN"/>
              </w:rPr>
            </w:pPr>
            <w:r>
              <w:rPr>
                <w:rFonts w:hint="eastAsia"/>
                <w:sz w:val="24"/>
                <w:szCs w:val="24"/>
                <w:lang w:eastAsia="zh-CN"/>
              </w:rPr>
              <w:t>生效日</w:t>
            </w:r>
          </w:p>
        </w:tc>
        <w:tc>
          <w:tcPr>
            <w:tcW w:w="2356" w:type="dxa"/>
            <w:vAlign w:val="center"/>
          </w:tcPr>
          <w:p>
            <w:pPr>
              <w:jc w:val="center"/>
              <w:rPr>
                <w:sz w:val="24"/>
                <w:szCs w:val="24"/>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2950" w:type="dxa"/>
            <w:vAlign w:val="center"/>
          </w:tcPr>
          <w:p>
            <w:pPr>
              <w:spacing w:before="166"/>
              <w:ind w:left="365" w:right="355"/>
              <w:jc w:val="center"/>
              <w:rPr>
                <w:sz w:val="24"/>
                <w:szCs w:val="24"/>
              </w:rPr>
            </w:pPr>
            <w:r>
              <w:rPr>
                <w:rFonts w:hint="eastAsia"/>
                <w:sz w:val="24"/>
                <w:szCs w:val="24"/>
              </w:rPr>
              <w:t>转让人</w:t>
            </w:r>
          </w:p>
        </w:tc>
        <w:tc>
          <w:tcPr>
            <w:tcW w:w="2091" w:type="dxa"/>
            <w:vAlign w:val="center"/>
          </w:tcPr>
          <w:p>
            <w:pPr>
              <w:jc w:val="center"/>
              <w:rPr>
                <w:sz w:val="24"/>
                <w:szCs w:val="24"/>
              </w:rPr>
            </w:pPr>
          </w:p>
        </w:tc>
        <w:tc>
          <w:tcPr>
            <w:tcW w:w="2368" w:type="dxa"/>
            <w:vAlign w:val="center"/>
          </w:tcPr>
          <w:p>
            <w:pPr>
              <w:spacing w:before="166"/>
              <w:ind w:left="460" w:right="453"/>
              <w:jc w:val="center"/>
              <w:rPr>
                <w:sz w:val="24"/>
                <w:szCs w:val="24"/>
              </w:rPr>
            </w:pPr>
            <w:r>
              <w:rPr>
                <w:rFonts w:hint="eastAsia"/>
                <w:sz w:val="24"/>
                <w:szCs w:val="24"/>
              </w:rPr>
              <w:t>受让人</w:t>
            </w:r>
          </w:p>
        </w:tc>
        <w:tc>
          <w:tcPr>
            <w:tcW w:w="2356" w:type="dxa"/>
            <w:vAlign w:val="center"/>
          </w:tcPr>
          <w:p>
            <w:pPr>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2950" w:type="dxa"/>
            <w:vAlign w:val="center"/>
          </w:tcPr>
          <w:p>
            <w:pPr>
              <w:spacing w:before="169"/>
              <w:ind w:left="365" w:right="355"/>
              <w:jc w:val="center"/>
              <w:rPr>
                <w:sz w:val="24"/>
                <w:szCs w:val="24"/>
              </w:rPr>
            </w:pPr>
            <w:r>
              <w:rPr>
                <w:rFonts w:hint="eastAsia"/>
                <w:sz w:val="24"/>
                <w:szCs w:val="24"/>
              </w:rPr>
              <w:t>联系人</w:t>
            </w:r>
          </w:p>
        </w:tc>
        <w:tc>
          <w:tcPr>
            <w:tcW w:w="2091" w:type="dxa"/>
            <w:vAlign w:val="center"/>
          </w:tcPr>
          <w:p>
            <w:pPr>
              <w:jc w:val="center"/>
              <w:rPr>
                <w:sz w:val="24"/>
                <w:szCs w:val="24"/>
              </w:rPr>
            </w:pPr>
          </w:p>
        </w:tc>
        <w:tc>
          <w:tcPr>
            <w:tcW w:w="2368" w:type="dxa"/>
            <w:vAlign w:val="center"/>
          </w:tcPr>
          <w:p>
            <w:pPr>
              <w:spacing w:before="169"/>
              <w:ind w:left="463" w:right="453"/>
              <w:jc w:val="center"/>
              <w:rPr>
                <w:sz w:val="24"/>
                <w:szCs w:val="24"/>
              </w:rPr>
            </w:pPr>
            <w:r>
              <w:rPr>
                <w:rFonts w:hint="eastAsia"/>
                <w:sz w:val="24"/>
                <w:szCs w:val="24"/>
              </w:rPr>
              <w:t>联系电话</w:t>
            </w:r>
          </w:p>
        </w:tc>
        <w:tc>
          <w:tcPr>
            <w:tcW w:w="2356" w:type="dxa"/>
            <w:vAlign w:val="center"/>
          </w:tcPr>
          <w:p>
            <w:pPr>
              <w:jc w:val="center"/>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8" w:hRule="atLeast"/>
        </w:trPr>
        <w:tc>
          <w:tcPr>
            <w:tcW w:w="9765" w:type="dxa"/>
            <w:gridSpan w:val="4"/>
          </w:tcPr>
          <w:p>
            <w:pPr>
              <w:spacing w:before="168"/>
              <w:ind w:left="108"/>
              <w:rPr>
                <w:sz w:val="24"/>
                <w:szCs w:val="24"/>
                <w:lang w:eastAsia="zh-CN"/>
              </w:rPr>
            </w:pPr>
            <w:r>
              <w:rPr>
                <w:rFonts w:hint="eastAsia"/>
                <w:spacing w:val="-1"/>
                <w:sz w:val="24"/>
                <w:szCs w:val="24"/>
                <w:lang w:eastAsia="zh-CN"/>
              </w:rPr>
              <w:t>（</w:t>
            </w:r>
            <w:r>
              <w:rPr>
                <w:rFonts w:hint="eastAsia"/>
                <w:spacing w:val="-3"/>
                <w:sz w:val="24"/>
                <w:szCs w:val="24"/>
                <w:lang w:eastAsia="zh-CN"/>
              </w:rPr>
              <w:t>请陈述充分的转让理由，并提交详细的报备材料</w:t>
            </w:r>
            <w:r>
              <w:rPr>
                <w:rFonts w:hint="eastAsia"/>
                <w:sz w:val="24"/>
                <w:szCs w:val="24"/>
                <w:lang w:eastAsia="zh-CN"/>
              </w:rPr>
              <w:t>）：</w:t>
            </w: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rPr>
                <w:sz w:val="24"/>
                <w:szCs w:val="24"/>
                <w:lang w:eastAsia="zh-CN"/>
              </w:rPr>
            </w:pPr>
          </w:p>
          <w:p>
            <w:pPr>
              <w:tabs>
                <w:tab w:val="left" w:pos="4891"/>
                <w:tab w:val="left" w:pos="5731"/>
              </w:tabs>
              <w:spacing w:line="560" w:lineRule="atLeast"/>
              <w:ind w:left="4051" w:right="1534" w:hanging="579"/>
              <w:jc w:val="right"/>
              <w:rPr>
                <w:sz w:val="24"/>
                <w:szCs w:val="24"/>
                <w:lang w:eastAsia="zh-CN"/>
              </w:rPr>
            </w:pPr>
            <w:r>
              <w:rPr>
                <w:rFonts w:hint="eastAsia"/>
                <w:spacing w:val="-1"/>
                <w:sz w:val="24"/>
                <w:szCs w:val="24"/>
                <w:lang w:eastAsia="zh-CN"/>
              </w:rPr>
              <w:t>报</w:t>
            </w:r>
            <w:r>
              <w:rPr>
                <w:rFonts w:hint="eastAsia"/>
                <w:spacing w:val="-3"/>
                <w:sz w:val="24"/>
                <w:szCs w:val="24"/>
                <w:lang w:eastAsia="zh-CN"/>
              </w:rPr>
              <w:t>备</w:t>
            </w:r>
            <w:r>
              <w:rPr>
                <w:rFonts w:hint="eastAsia"/>
                <w:spacing w:val="-1"/>
                <w:sz w:val="24"/>
                <w:szCs w:val="24"/>
                <w:lang w:eastAsia="zh-CN"/>
              </w:rPr>
              <w:t>单位</w:t>
            </w:r>
            <w:r>
              <w:rPr>
                <w:rFonts w:hint="eastAsia"/>
                <w:spacing w:val="-3"/>
                <w:sz w:val="24"/>
                <w:szCs w:val="24"/>
                <w:lang w:eastAsia="zh-CN"/>
              </w:rPr>
              <w:t>名</w:t>
            </w:r>
            <w:r>
              <w:rPr>
                <w:rFonts w:hint="eastAsia"/>
                <w:spacing w:val="-1"/>
                <w:sz w:val="24"/>
                <w:szCs w:val="24"/>
                <w:lang w:eastAsia="zh-CN"/>
              </w:rPr>
              <w:t>称（加</w:t>
            </w:r>
            <w:r>
              <w:rPr>
                <w:rFonts w:hint="eastAsia"/>
                <w:spacing w:val="-3"/>
                <w:sz w:val="24"/>
                <w:szCs w:val="24"/>
                <w:lang w:eastAsia="zh-CN"/>
              </w:rPr>
              <w:t>盖</w:t>
            </w:r>
            <w:r>
              <w:rPr>
                <w:rFonts w:hint="eastAsia"/>
                <w:spacing w:val="-1"/>
                <w:sz w:val="24"/>
                <w:szCs w:val="24"/>
                <w:lang w:eastAsia="zh-CN"/>
              </w:rPr>
              <w:t>公</w:t>
            </w:r>
            <w:r>
              <w:rPr>
                <w:rFonts w:hint="eastAsia"/>
                <w:spacing w:val="-3"/>
                <w:sz w:val="24"/>
                <w:szCs w:val="24"/>
                <w:lang w:eastAsia="zh-CN"/>
              </w:rPr>
              <w:t>章</w:t>
            </w:r>
            <w:r>
              <w:rPr>
                <w:rFonts w:hint="eastAsia"/>
                <w:spacing w:val="-140"/>
                <w:sz w:val="24"/>
                <w:szCs w:val="24"/>
                <w:lang w:eastAsia="zh-CN"/>
              </w:rPr>
              <w:t>）</w:t>
            </w:r>
            <w:r>
              <w:rPr>
                <w:rFonts w:hint="eastAsia"/>
                <w:sz w:val="24"/>
                <w:szCs w:val="24"/>
                <w:lang w:eastAsia="zh-CN"/>
              </w:rPr>
              <w:t xml:space="preserve"> ：</w:t>
            </w:r>
          </w:p>
          <w:p>
            <w:pPr>
              <w:tabs>
                <w:tab w:val="left" w:pos="4891"/>
                <w:tab w:val="left" w:pos="5731"/>
              </w:tabs>
              <w:spacing w:line="560" w:lineRule="atLeast"/>
              <w:ind w:left="3931" w:right="1760" w:rightChars="800" w:hanging="579"/>
              <w:jc w:val="right"/>
              <w:rPr>
                <w:sz w:val="24"/>
                <w:szCs w:val="24"/>
                <w:lang w:eastAsia="zh-CN"/>
              </w:rPr>
            </w:pPr>
            <w:r>
              <w:rPr>
                <w:rFonts w:hint="eastAsia"/>
                <w:sz w:val="24"/>
                <w:szCs w:val="24"/>
                <w:lang w:eastAsia="zh-CN"/>
              </w:rPr>
              <w:t xml:space="preserve">   年    月    日</w:t>
            </w:r>
          </w:p>
          <w:p>
            <w:pPr>
              <w:tabs>
                <w:tab w:val="left" w:pos="4891"/>
                <w:tab w:val="left" w:pos="5731"/>
              </w:tabs>
              <w:spacing w:line="560" w:lineRule="atLeast"/>
              <w:ind w:left="4051" w:right="1534" w:hanging="579"/>
              <w:rPr>
                <w:sz w:val="24"/>
                <w:szCs w:val="24"/>
                <w:lang w:eastAsia="zh-CN"/>
              </w:rPr>
            </w:pPr>
          </w:p>
        </w:tc>
      </w:tr>
    </w:tbl>
    <w:p>
      <w:pPr>
        <w:pStyle w:val="5"/>
        <w:spacing w:before="54" w:line="381" w:lineRule="exact"/>
        <w:ind w:left="0"/>
        <w:rPr>
          <w:rFonts w:ascii="黑体" w:eastAsia="黑体"/>
          <w:lang w:eastAsia="zh-CN"/>
        </w:rPr>
      </w:pPr>
    </w:p>
    <w:p>
      <w:pPr>
        <w:pStyle w:val="5"/>
        <w:spacing w:before="54" w:line="381" w:lineRule="exact"/>
        <w:ind w:left="0"/>
        <w:rPr>
          <w:rFonts w:ascii="黑体" w:eastAsia="黑体"/>
          <w:lang w:eastAsia="zh-CN"/>
        </w:rPr>
      </w:pPr>
    </w:p>
    <w:sectPr>
      <w:type w:val="continuous"/>
      <w:pgSz w:w="11910" w:h="16840"/>
      <w:pgMar w:top="1797" w:right="1440" w:bottom="1797" w:left="1440" w:header="720" w:footer="720" w:gutter="0"/>
      <w:cols w:equalWidth="0" w:num="2">
        <w:col w:w="1069" w:space="454"/>
        <w:col w:w="7507"/>
      </w:cols>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3580765</wp:posOffset>
              </wp:positionH>
              <wp:positionV relativeFrom="page">
                <wp:posOffset>9843770</wp:posOffset>
              </wp:positionV>
              <wp:extent cx="471805" cy="203835"/>
              <wp:effectExtent l="0" t="0" r="0" b="0"/>
              <wp:wrapNone/>
              <wp:docPr id="4" name="Text Box 1"/>
              <wp:cNvGraphicFramePr/>
              <a:graphic xmlns:a="http://schemas.openxmlformats.org/drawingml/2006/main">
                <a:graphicData uri="http://schemas.microsoft.com/office/word/2010/wordprocessingShape">
                  <wps:wsp>
                    <wps:cNvSpPr txBox="1">
                      <a:spLocks noChangeArrowheads="1"/>
                    </wps:cNvSpPr>
                    <wps:spPr bwMode="auto">
                      <a:xfrm>
                        <a:off x="0" y="0"/>
                        <a:ext cx="471805" cy="203835"/>
                      </a:xfrm>
                      <a:prstGeom prst="rect">
                        <a:avLst/>
                      </a:prstGeom>
                      <a:noFill/>
                      <a:ln>
                        <a:noFill/>
                      </a:ln>
                    </wps:spPr>
                    <wps:txbx>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w:t>
                          </w:r>
                          <w:r>
                            <w:fldChar w:fldCharType="end"/>
                          </w:r>
                          <w:r>
                            <w:rPr>
                              <w:rFonts w:ascii="宋体"/>
                              <w:sz w:val="28"/>
                            </w:rPr>
                            <w:t xml:space="preserve"> -</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81.95pt;margin-top:775.1pt;height:16.05pt;width:37.15pt;mso-position-horizontal-relative:page;mso-position-vertical-relative:page;z-index:-251657216;mso-width-relative:page;mso-height-relative:page;" filled="f" stroked="f" coordsize="21600,21600" o:gfxdata="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gRGzRtoAAAANAQAADwAAAAAAAAABACAAAAAiAAAAZHJzL2Rvd25y&#10;ZXYueG1sUEsBAhQAFAAAAAgAh07iQHCAmgj8AQAAAwQAAA4AAAAAAAAAAQAgAAAAKQEAAGRycy9l&#10;Mm9Eb2MueG1sUEsFBgAAAAAGAAYAWQEAAJcFAAAAAA==&#10;">
              <v:fill on="f" focussize="0,0"/>
              <v:stroke on="f"/>
              <v:imagedata o:title=""/>
              <o:lock v:ext="edit" aspectratio="f"/>
              <v:textbox inset="0mm,0mm,0mm,0mm">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w:t>
                    </w:r>
                    <w:r>
                      <w:fldChar w:fldCharType="end"/>
                    </w:r>
                    <w:r>
                      <w:rPr>
                        <w:rFonts w:ascii="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w:rPr>
        <w:lang w:eastAsia="zh-CN"/>
      </w:rPr>
      <mc:AlternateContent>
        <mc:Choice Requires="wps">
          <w:drawing>
            <wp:anchor distT="0" distB="0" distL="114300" distR="114300" simplePos="0" relativeHeight="251662336" behindDoc="1" locked="0" layoutInCell="1" allowOverlap="1">
              <wp:simplePos x="0" y="0"/>
              <wp:positionH relativeFrom="page">
                <wp:posOffset>3536315</wp:posOffset>
              </wp:positionH>
              <wp:positionV relativeFrom="page">
                <wp:posOffset>9843770</wp:posOffset>
              </wp:positionV>
              <wp:extent cx="560070" cy="203835"/>
              <wp:effectExtent l="0" t="0" r="11430" b="5715"/>
              <wp:wrapNone/>
              <wp:docPr id="2" name="文本框 1"/>
              <wp:cNvGraphicFramePr/>
              <a:graphic xmlns:a="http://schemas.openxmlformats.org/drawingml/2006/main">
                <a:graphicData uri="http://schemas.microsoft.com/office/word/2010/wordprocessingShape">
                  <wps:wsp>
                    <wps:cNvSpPr txBox="1"/>
                    <wps:spPr>
                      <a:xfrm>
                        <a:off x="0" y="0"/>
                        <a:ext cx="560070" cy="203835"/>
                      </a:xfrm>
                      <a:prstGeom prst="rect">
                        <a:avLst/>
                      </a:prstGeom>
                      <a:noFill/>
                      <a:ln>
                        <a:noFill/>
                      </a:ln>
                    </wps:spPr>
                    <wps:txbx>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9</w:t>
                          </w:r>
                          <w:r>
                            <w:fldChar w:fldCharType="end"/>
                          </w:r>
                          <w:r>
                            <w:rPr>
                              <w:rFonts w:ascii="宋体"/>
                              <w:sz w:val="28"/>
                            </w:rPr>
                            <w:t xml:space="preserve"> -</w:t>
                          </w:r>
                        </w:p>
                      </w:txbxContent>
                    </wps:txbx>
                    <wps:bodyPr lIns="0" tIns="0" rIns="0" bIns="0" upright="1"/>
                  </wps:wsp>
                </a:graphicData>
              </a:graphic>
            </wp:anchor>
          </w:drawing>
        </mc:Choice>
        <mc:Fallback>
          <w:pict>
            <v:shape id="文本框 1" o:spid="_x0000_s1026" o:spt="202" type="#_x0000_t202" style="position:absolute;left:0pt;margin-left:278.45pt;margin-top:775.1pt;height:16.05pt;width:44.1pt;mso-position-horizontal-relative:page;mso-position-vertical-relative:page;z-index:-251654144;mso-width-relative:page;mso-height-relative:page;" filled="f" stroked="f" coordsize="21600,21600" o:gfxdata="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PSQQttsAAAANAQAADwAAAAAAAAABACAAAAAiAAAAZHJzL2Rvd25yZXYueG1sUEsB&#10;AhQAFAAAAAgAh07iQKuDpwO5AQAAcQMAAA4AAAAAAAAAAQAgAAAAKgEAAGRycy9lMm9Eb2MueG1s&#10;UEsFBgAAAAAGAAYAWQEAAFUFAAAAAA==&#10;">
              <v:fill on="f" focussize="0,0"/>
              <v:stroke on="f"/>
              <v:imagedata o:title=""/>
              <o:lock v:ext="edit" aspectratio="f"/>
              <v:textbox inset="0mm,0mm,0mm,0mm">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9</w:t>
                    </w:r>
                    <w:r>
                      <w:fldChar w:fldCharType="end"/>
                    </w:r>
                    <w:r>
                      <w:rPr>
                        <w:rFonts w:ascii="宋体"/>
                        <w:sz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w:rPr>
        <w:lang w:eastAsia="zh-CN"/>
      </w:rPr>
      <mc:AlternateContent>
        <mc:Choice Requires="wps">
          <w:drawing>
            <wp:anchor distT="0" distB="0" distL="114300" distR="114300" simplePos="0" relativeHeight="251661312" behindDoc="1" locked="0" layoutInCell="1" allowOverlap="1">
              <wp:simplePos x="0" y="0"/>
              <wp:positionH relativeFrom="page">
                <wp:posOffset>3536315</wp:posOffset>
              </wp:positionH>
              <wp:positionV relativeFrom="page">
                <wp:posOffset>9843770</wp:posOffset>
              </wp:positionV>
              <wp:extent cx="560070" cy="203835"/>
              <wp:effectExtent l="0" t="0" r="11430" b="5715"/>
              <wp:wrapNone/>
              <wp:docPr id="3" name="Text Box 2"/>
              <wp:cNvGraphicFramePr/>
              <a:graphic xmlns:a="http://schemas.openxmlformats.org/drawingml/2006/main">
                <a:graphicData uri="http://schemas.microsoft.com/office/word/2010/wordprocessingShape">
                  <wps:wsp>
                    <wps:cNvSpPr txBox="1">
                      <a:spLocks noChangeArrowheads="1"/>
                    </wps:cNvSpPr>
                    <wps:spPr bwMode="auto">
                      <a:xfrm>
                        <a:off x="0" y="0"/>
                        <a:ext cx="560070" cy="203835"/>
                      </a:xfrm>
                      <a:prstGeom prst="rect">
                        <a:avLst/>
                      </a:prstGeom>
                      <a:noFill/>
                      <a:ln>
                        <a:noFill/>
                      </a:ln>
                    </wps:spPr>
                    <wps:txbx>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10</w:t>
                          </w:r>
                          <w:r>
                            <w:fldChar w:fldCharType="end"/>
                          </w:r>
                          <w:r>
                            <w:rPr>
                              <w:rFonts w:ascii="宋体"/>
                              <w:sz w:val="28"/>
                            </w:rPr>
                            <w:t xml:space="preserve"> -</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78.45pt;margin-top:775.1pt;height:16.05pt;width:44.1pt;mso-position-horizontal-relative:page;mso-position-vertical-relative:page;z-index:-251655168;mso-width-relative:page;mso-height-relative:page;" filled="f" stroked="f" coordsize="21600,21600" o:gfxdata="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0kELbbAAAADQEAAA8AAAAAAAAAAQAgAAAAIgAAAGRycy9kb3du&#10;cmV2LnhtbFBLAQIUABQAAAAIAIdO4kA42tya/AEAAAMEAAAOAAAAAAAAAAEAIAAAACoBAABkcnMv&#10;ZTJvRG9jLnhtbFBLBQYAAAAABgAGAFkBAACYBQAAAAA=&#10;">
              <v:fill on="f" focussize="0,0"/>
              <v:stroke on="f"/>
              <v:imagedata o:title=""/>
              <o:lock v:ext="edit" aspectratio="f"/>
              <v:textbox inset="0mm,0mm,0mm,0mm">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10</w:t>
                    </w:r>
                    <w:r>
                      <w:fldChar w:fldCharType="end"/>
                    </w:r>
                    <w:r>
                      <w:rPr>
                        <w:rFonts w:ascii="宋体"/>
                        <w:sz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ind w:left="0"/>
      <w:rPr>
        <w:sz w:val="20"/>
      </w:rPr>
    </w:pPr>
    <w:r>
      <w:rPr>
        <w:lang w:eastAsia="zh-CN"/>
      </w:rPr>
      <mc:AlternateContent>
        <mc:Choice Requires="wps">
          <w:drawing>
            <wp:anchor distT="0" distB="0" distL="114300" distR="114300" simplePos="0" relativeHeight="251660288" behindDoc="1" locked="0" layoutInCell="1" allowOverlap="1">
              <wp:simplePos x="0" y="0"/>
              <wp:positionH relativeFrom="page">
                <wp:posOffset>3536315</wp:posOffset>
              </wp:positionH>
              <wp:positionV relativeFrom="page">
                <wp:posOffset>9843770</wp:posOffset>
              </wp:positionV>
              <wp:extent cx="560070" cy="203835"/>
              <wp:effectExtent l="0" t="0" r="0" b="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560070" cy="203835"/>
                      </a:xfrm>
                      <a:prstGeom prst="rect">
                        <a:avLst/>
                      </a:prstGeom>
                      <a:noFill/>
                      <a:ln>
                        <a:noFill/>
                      </a:ln>
                    </wps:spPr>
                    <wps:txbx>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16</w:t>
                          </w:r>
                          <w:r>
                            <w:fldChar w:fldCharType="end"/>
                          </w:r>
                          <w:r>
                            <w:rPr>
                              <w:rFonts w:ascii="宋体"/>
                              <w:sz w:val="28"/>
                            </w:rPr>
                            <w:t xml:space="preserve"> -</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78.45pt;margin-top:775.1pt;height:16.05pt;width:44.1pt;mso-position-horizontal-relative:page;mso-position-vertical-relative:page;z-index:-251656192;mso-width-relative:page;mso-height-relative:page;" filled="f" stroked="f" coordsize="21600,21600" o:gfxdata="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SQQttsAAAANAQAADwAAAAAAAAABACAAAAAiAAAAZHJzL2Rvd25y&#10;ZXYueG1sUEsBAhQAFAAAAAgAh07iQAGd7Pn7AQAAAwQAAA4AAAAAAAAAAQAgAAAAKgEAAGRycy9l&#10;Mm9Eb2MueG1sUEsFBgAAAAAGAAYAWQEAAJcFAAAAAA==&#10;">
              <v:fill on="f" focussize="0,0"/>
              <v:stroke on="f"/>
              <v:imagedata o:title=""/>
              <o:lock v:ext="edit" aspectratio="f"/>
              <v:textbox inset="0mm,0mm,0mm,0mm">
                <w:txbxContent>
                  <w:p>
                    <w:pPr>
                      <w:spacing w:line="321" w:lineRule="exact"/>
                      <w:ind w:left="20"/>
                      <w:rPr>
                        <w:rFonts w:ascii="宋体"/>
                        <w:sz w:val="28"/>
                      </w:rPr>
                    </w:pPr>
                    <w:r>
                      <w:rPr>
                        <w:rFonts w:ascii="宋体"/>
                        <w:sz w:val="28"/>
                      </w:rPr>
                      <w:t xml:space="preserve">- </w:t>
                    </w:r>
                    <w:r>
                      <w:fldChar w:fldCharType="begin"/>
                    </w:r>
                    <w:r>
                      <w:rPr>
                        <w:rFonts w:ascii="宋体"/>
                        <w:sz w:val="28"/>
                      </w:rPr>
                      <w:instrText xml:space="preserve"> PAGE </w:instrText>
                    </w:r>
                    <w:r>
                      <w:fldChar w:fldCharType="separate"/>
                    </w:r>
                    <w:r>
                      <w:rPr>
                        <w:rFonts w:ascii="宋体"/>
                        <w:sz w:val="28"/>
                      </w:rPr>
                      <w:t>16</w:t>
                    </w:r>
                    <w:r>
                      <w:fldChar w:fldCharType="end"/>
                    </w:r>
                    <w:r>
                      <w:rPr>
                        <w:rFonts w:ascii="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drawingGridVerticalSpacing w:val="249"/>
  <w:displayHorizontalDrawingGridEvery w:val="2"/>
  <w:displayVertic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yOWUzOTU2OTcwMzA5ODhkMTJlNGQxYmY1NGRiYjEifQ=="/>
  </w:docVars>
  <w:rsids>
    <w:rsidRoot w:val="00237C88"/>
    <w:rsid w:val="00020E9C"/>
    <w:rsid w:val="00052779"/>
    <w:rsid w:val="000569C8"/>
    <w:rsid w:val="000C5529"/>
    <w:rsid w:val="000F7255"/>
    <w:rsid w:val="00112637"/>
    <w:rsid w:val="00112708"/>
    <w:rsid w:val="00137B9B"/>
    <w:rsid w:val="001B4297"/>
    <w:rsid w:val="001B694F"/>
    <w:rsid w:val="00237C88"/>
    <w:rsid w:val="00244AFD"/>
    <w:rsid w:val="00262E3C"/>
    <w:rsid w:val="002D7DF4"/>
    <w:rsid w:val="002E7327"/>
    <w:rsid w:val="0034295E"/>
    <w:rsid w:val="0036555A"/>
    <w:rsid w:val="003670E7"/>
    <w:rsid w:val="003905C7"/>
    <w:rsid w:val="003C5B58"/>
    <w:rsid w:val="004359B0"/>
    <w:rsid w:val="00447F06"/>
    <w:rsid w:val="00460890"/>
    <w:rsid w:val="004C5097"/>
    <w:rsid w:val="004E78C1"/>
    <w:rsid w:val="00570628"/>
    <w:rsid w:val="00576865"/>
    <w:rsid w:val="005D1B6E"/>
    <w:rsid w:val="0061185C"/>
    <w:rsid w:val="00621678"/>
    <w:rsid w:val="006258CB"/>
    <w:rsid w:val="00673901"/>
    <w:rsid w:val="006F43A8"/>
    <w:rsid w:val="00720831"/>
    <w:rsid w:val="0075590C"/>
    <w:rsid w:val="0078265A"/>
    <w:rsid w:val="00785EFE"/>
    <w:rsid w:val="007C41F7"/>
    <w:rsid w:val="0081250E"/>
    <w:rsid w:val="008261F9"/>
    <w:rsid w:val="0083100F"/>
    <w:rsid w:val="00847360"/>
    <w:rsid w:val="00857FFE"/>
    <w:rsid w:val="0086373D"/>
    <w:rsid w:val="00873FFE"/>
    <w:rsid w:val="00880C9F"/>
    <w:rsid w:val="00880F0D"/>
    <w:rsid w:val="008B1DA7"/>
    <w:rsid w:val="008B2AF5"/>
    <w:rsid w:val="008D7D2C"/>
    <w:rsid w:val="008F3AE4"/>
    <w:rsid w:val="0093196D"/>
    <w:rsid w:val="009673A1"/>
    <w:rsid w:val="00977BE3"/>
    <w:rsid w:val="00985BBC"/>
    <w:rsid w:val="009A0898"/>
    <w:rsid w:val="009A08E4"/>
    <w:rsid w:val="009C7386"/>
    <w:rsid w:val="00A322C0"/>
    <w:rsid w:val="00A36C21"/>
    <w:rsid w:val="00A463F9"/>
    <w:rsid w:val="00A6473C"/>
    <w:rsid w:val="00A87388"/>
    <w:rsid w:val="00A94A56"/>
    <w:rsid w:val="00B24A17"/>
    <w:rsid w:val="00B410A0"/>
    <w:rsid w:val="00B57C89"/>
    <w:rsid w:val="00B77430"/>
    <w:rsid w:val="00BD588C"/>
    <w:rsid w:val="00BD73AD"/>
    <w:rsid w:val="00BE6484"/>
    <w:rsid w:val="00C013C6"/>
    <w:rsid w:val="00C601DC"/>
    <w:rsid w:val="00CE5604"/>
    <w:rsid w:val="00D32A5B"/>
    <w:rsid w:val="00D47CE7"/>
    <w:rsid w:val="00D64EFD"/>
    <w:rsid w:val="00DF4235"/>
    <w:rsid w:val="00EC033C"/>
    <w:rsid w:val="00EC47E7"/>
    <w:rsid w:val="00F53155"/>
    <w:rsid w:val="00FF759F"/>
    <w:rsid w:val="06522707"/>
    <w:rsid w:val="081708FB"/>
    <w:rsid w:val="1A2B1851"/>
    <w:rsid w:val="429E4A42"/>
    <w:rsid w:val="43743D9D"/>
    <w:rsid w:val="47CC2D34"/>
    <w:rsid w:val="FEC5A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en-US" w:bidi="ar-SA"/>
    </w:rPr>
  </w:style>
  <w:style w:type="paragraph" w:styleId="2">
    <w:name w:val="heading 1"/>
    <w:basedOn w:val="1"/>
    <w:next w:val="1"/>
    <w:qFormat/>
    <w:uiPriority w:val="1"/>
    <w:pPr>
      <w:spacing w:line="600" w:lineRule="exact"/>
      <w:ind w:left="1760" w:hanging="1760" w:hangingChars="400"/>
      <w:jc w:val="center"/>
      <w:outlineLvl w:val="0"/>
    </w:pPr>
    <w:rPr>
      <w:rFonts w:ascii="方正小标宋简体" w:hAnsi="方正小标宋简体" w:eastAsia="方正小标宋简体" w:cs="方正小标宋简体"/>
      <w:sz w:val="44"/>
      <w:szCs w:val="44"/>
    </w:rPr>
  </w:style>
  <w:style w:type="paragraph" w:styleId="3">
    <w:name w:val="heading 2"/>
    <w:basedOn w:val="1"/>
    <w:next w:val="1"/>
    <w:qFormat/>
    <w:uiPriority w:val="1"/>
    <w:pPr>
      <w:ind w:left="628"/>
      <w:outlineLvl w:val="1"/>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qFormat/>
    <w:uiPriority w:val="0"/>
  </w:style>
  <w:style w:type="paragraph" w:styleId="5">
    <w:name w:val="Body Text"/>
    <w:basedOn w:val="1"/>
    <w:qFormat/>
    <w:uiPriority w:val="1"/>
    <w:pPr>
      <w:ind w:left="628"/>
    </w:pPr>
    <w:rPr>
      <w:sz w:val="32"/>
      <w:szCs w:val="32"/>
    </w:rPr>
  </w:style>
  <w:style w:type="paragraph" w:styleId="6">
    <w:name w:val="Balloon Text"/>
    <w:basedOn w:val="1"/>
    <w:link w:val="22"/>
    <w:qFormat/>
    <w:uiPriority w:val="0"/>
    <w:rPr>
      <w:sz w:val="18"/>
      <w:szCs w:val="18"/>
    </w:rPr>
  </w:style>
  <w:style w:type="paragraph" w:styleId="7">
    <w:name w:val="footer"/>
    <w:basedOn w:val="1"/>
    <w:link w:val="19"/>
    <w:qFormat/>
    <w:uiPriority w:val="0"/>
    <w:pPr>
      <w:tabs>
        <w:tab w:val="center" w:pos="4153"/>
        <w:tab w:val="right" w:pos="8306"/>
      </w:tabs>
      <w:snapToGrid w:val="0"/>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1"/>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annotation reference"/>
    <w:basedOn w:val="12"/>
    <w:qFormat/>
    <w:uiPriority w:val="0"/>
    <w:rPr>
      <w:sz w:val="21"/>
      <w:szCs w:val="21"/>
    </w:rPr>
  </w:style>
  <w:style w:type="table" w:customStyle="1" w:styleId="15">
    <w:name w:val="Table Normal"/>
    <w:semiHidden/>
    <w:unhideWhenUsed/>
    <w:qFormat/>
    <w:uiPriority w:val="2"/>
    <w:tblPr>
      <w:tblCellMar>
        <w:top w:w="0" w:type="dxa"/>
        <w:left w:w="0" w:type="dxa"/>
        <w:bottom w:w="0" w:type="dxa"/>
        <w:right w:w="0" w:type="dxa"/>
      </w:tblCellMar>
    </w:tblPr>
  </w:style>
  <w:style w:type="paragraph" w:styleId="16">
    <w:name w:val="List Paragraph"/>
    <w:basedOn w:val="1"/>
    <w:qFormat/>
    <w:uiPriority w:val="1"/>
  </w:style>
  <w:style w:type="paragraph" w:customStyle="1" w:styleId="17">
    <w:name w:val="Table Paragraph"/>
    <w:basedOn w:val="1"/>
    <w:qFormat/>
    <w:uiPriority w:val="1"/>
  </w:style>
  <w:style w:type="character" w:customStyle="1" w:styleId="18">
    <w:name w:val="页眉 Char"/>
    <w:basedOn w:val="12"/>
    <w:link w:val="8"/>
    <w:qFormat/>
    <w:uiPriority w:val="0"/>
    <w:rPr>
      <w:rFonts w:ascii="仿宋_GB2312" w:hAnsi="仿宋_GB2312" w:eastAsia="仿宋_GB2312" w:cs="仿宋_GB2312"/>
      <w:sz w:val="18"/>
      <w:szCs w:val="18"/>
      <w:lang w:eastAsia="en-US"/>
    </w:rPr>
  </w:style>
  <w:style w:type="character" w:customStyle="1" w:styleId="19">
    <w:name w:val="页脚 Char"/>
    <w:basedOn w:val="12"/>
    <w:link w:val="7"/>
    <w:qFormat/>
    <w:uiPriority w:val="0"/>
    <w:rPr>
      <w:rFonts w:ascii="仿宋_GB2312" w:hAnsi="仿宋_GB2312" w:eastAsia="仿宋_GB2312" w:cs="仿宋_GB2312"/>
      <w:sz w:val="18"/>
      <w:szCs w:val="18"/>
      <w:lang w:eastAsia="en-US"/>
    </w:rPr>
  </w:style>
  <w:style w:type="character" w:customStyle="1" w:styleId="20">
    <w:name w:val="批注文字 Char"/>
    <w:basedOn w:val="12"/>
    <w:link w:val="4"/>
    <w:qFormat/>
    <w:uiPriority w:val="0"/>
    <w:rPr>
      <w:rFonts w:ascii="仿宋_GB2312" w:hAnsi="仿宋_GB2312" w:eastAsia="仿宋_GB2312" w:cs="仿宋_GB2312"/>
      <w:sz w:val="22"/>
      <w:szCs w:val="22"/>
      <w:lang w:eastAsia="en-US"/>
    </w:rPr>
  </w:style>
  <w:style w:type="character" w:customStyle="1" w:styleId="21">
    <w:name w:val="批注主题 Char"/>
    <w:basedOn w:val="20"/>
    <w:link w:val="9"/>
    <w:qFormat/>
    <w:uiPriority w:val="0"/>
    <w:rPr>
      <w:rFonts w:ascii="仿宋_GB2312" w:hAnsi="仿宋_GB2312" w:eastAsia="仿宋_GB2312" w:cs="仿宋_GB2312"/>
      <w:b/>
      <w:bCs/>
      <w:sz w:val="22"/>
      <w:szCs w:val="22"/>
      <w:lang w:eastAsia="en-US"/>
    </w:rPr>
  </w:style>
  <w:style w:type="character" w:customStyle="1" w:styleId="22">
    <w:name w:val="批注框文本 Char"/>
    <w:basedOn w:val="12"/>
    <w:link w:val="6"/>
    <w:qFormat/>
    <w:uiPriority w:val="0"/>
    <w:rPr>
      <w:rFonts w:ascii="仿宋_GB2312" w:hAnsi="仿宋_GB2312" w:eastAsia="仿宋_GB2312" w:cs="仿宋_GB2312"/>
      <w:sz w:val="18"/>
      <w:szCs w:val="18"/>
      <w:lang w:eastAsia="en-US"/>
    </w:rPr>
  </w:style>
  <w:style w:type="paragraph" w:customStyle="1" w:styleId="23">
    <w:name w:val="Revision"/>
    <w:hidden/>
    <w:unhideWhenUsed/>
    <w:qFormat/>
    <w:uiPriority w:val="99"/>
    <w:rPr>
      <w:rFonts w:ascii="仿宋_GB2312" w:hAnsi="仿宋_GB2312" w:eastAsia="仿宋_GB2312" w:cs="仿宋_GB2312"/>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7467330-0A30-45DA-A667-96570431713E}">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16</Pages>
  <Words>6578</Words>
  <Characters>6641</Characters>
  <Lines>51</Lines>
  <Paragraphs>14</Paragraphs>
  <TotalTime>284</TotalTime>
  <ScaleCrop>false</ScaleCrop>
  <LinksUpToDate>false</LinksUpToDate>
  <CharactersWithSpaces>6774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2024-02-04T10:19:00Z</dcterms:created>
  <dc:creator>Microsoft</dc:creator>
  <cp:lastModifiedBy>刘洋</cp:lastModifiedBy>
  <dcterms:modified xsi:type="dcterms:W3CDTF">2024-06-19T07:57:02Z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2023-08-14T00:00:00Z</vt:filetime>
  </property>
  <property fmtid="{D5CDD505-2E9C-101B-9397-08002B2CF9AE}" pid="3" name="Creator">
    <vt:lpwstr>WPS 文字</vt:lpwstr>
  </property>
  <property fmtid="{D5CDD505-2E9C-101B-9397-08002B2CF9AE}" pid="4" name="LastSaved">
    <vt:filetime>2023-12-05T00:00:00Z</vt:filetime>
  </property>
  <property fmtid="{D5CDD505-2E9C-101B-9397-08002B2CF9AE}" pid="5" name="KSOProductBuildVer">
    <vt:lpwstr>2052-12.1.0.16929</vt:lpwstr>
  </property>
  <property fmtid="{D5CDD505-2E9C-101B-9397-08002B2CF9AE}" pid="6" name="ICV">
    <vt:lpwstr>8535A16E66424C22B020A5793B41B4D1_13</vt:lpwstr>
  </property>
</Properties>
</file>