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0" w:beforeAutospacing="0" w:after="0" w:afterAutospacing="0" w:line="576" w:lineRule="exact"/>
        <w:jc w:val="center"/>
        <w:rPr>
          <w:rFonts w:ascii="方正小标宋_GBK" w:hAnsi="方正小标宋_GBK" w:eastAsia="方正小标宋_GBK" w:cs="方正小标宋_GBK"/>
          <w:b w:val="0"/>
          <w:bCs w:val="0"/>
          <w:color w:val="000000" w:themeColor="text1"/>
          <w:sz w:val="32"/>
          <w:szCs w:val="32"/>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lang w:eastAsia="zh-CN"/>
        </w:rPr>
      </w:pPr>
      <w:bookmarkStart w:id="0" w:name="Title"/>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center"/>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0" w:firstLineChars="0"/>
        <w:jc w:val="both"/>
        <w:textAlignment w:val="auto"/>
        <w:outlineLvl w:val="9"/>
        <w:rPr>
          <w:rFonts w:hint="eastAsia" w:ascii="方正小标宋简体" w:hAnsi="宋体" w:eastAsia="方正小标宋简体"/>
          <w:color w:val="000000"/>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320" w:firstLineChars="100"/>
        <w:jc w:val="both"/>
        <w:textAlignment w:val="auto"/>
        <w:outlineLvl w:val="9"/>
        <w:rPr>
          <w:rFonts w:hint="eastAsia" w:ascii="仿宋" w:hAnsi="仿宋" w:eastAsia="仿宋" w:cs="仿宋"/>
          <w:color w:val="000000"/>
          <w:sz w:val="32"/>
          <w:szCs w:val="32"/>
        </w:rPr>
      </w:pP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320" w:firstLineChars="100"/>
        <w:jc w:val="center"/>
        <w:textAlignment w:val="auto"/>
        <w:outlineLvl w:val="9"/>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潭</w:t>
      </w:r>
      <w:r>
        <w:rPr>
          <w:rFonts w:hint="eastAsia" w:ascii="仿宋" w:hAnsi="仿宋" w:eastAsia="仿宋" w:cs="仿宋"/>
          <w:color w:val="000000"/>
          <w:sz w:val="32"/>
          <w:szCs w:val="32"/>
          <w:lang w:eastAsia="zh-CN"/>
        </w:rPr>
        <w:t>知保发</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2024</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号</w:t>
      </w:r>
      <w:r>
        <w:rPr>
          <w:rFonts w:hint="eastAsia" w:ascii="仿宋" w:hAnsi="仿宋" w:eastAsia="仿宋" w:cs="仿宋"/>
          <w:color w:val="000000"/>
          <w:sz w:val="32"/>
          <w:szCs w:val="32"/>
          <w:lang w:val="en-US" w:eastAsia="zh-CN"/>
        </w:rPr>
        <w:t xml:space="preserve">                  </w:t>
      </w:r>
    </w:p>
    <w:bookmarkEnd w:id="0"/>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仿宋_GBK" w:hAnsi="方正仿宋_GBK" w:eastAsia="方正仿宋_GBK" w:cs="方正仿宋_GBK"/>
          <w:sz w:val="32"/>
          <w:szCs w:val="32"/>
          <w:lang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仿宋_GBK" w:hAnsi="方正仿宋_GBK" w:eastAsia="方正仿宋_GBK" w:cs="方正仿宋_GBK"/>
          <w:sz w:val="32"/>
          <w:szCs w:val="32"/>
          <w:lang w:eastAsia="zh-CN"/>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湘潭市知识产权保护中心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76" w:lineRule="exact"/>
        <w:ind w:left="0" w:right="0" w:firstLine="0"/>
        <w:jc w:val="both"/>
        <w:textAlignment w:val="auto"/>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关于</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印发</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《湘潭市知识产权保护中心备案主体、代理机构预审服务管理办法（试行）》的通知</w:t>
      </w:r>
    </w:p>
    <w:p>
      <w:pPr>
        <w:rPr>
          <w:rFonts w:hint="eastAsia" w:ascii="方正仿宋_GBK" w:hAnsi="方正仿宋_GBK" w:eastAsia="方正仿宋_GBK" w:cs="方正仿宋_GBK"/>
          <w:sz w:val="32"/>
          <w:szCs w:val="32"/>
        </w:rPr>
      </w:pP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left="0" w:right="0" w:firstLine="0"/>
        <w:jc w:val="left"/>
        <w:rPr>
          <w:rFonts w:hint="eastAsia" w:ascii="方正仿宋_GBK" w:hAnsi="方正仿宋_GBK" w:eastAsia="方正仿宋_GBK" w:cs="方正仿宋_GBK"/>
          <w:i w:val="0"/>
          <w:iCs w:val="0"/>
          <w:caps w:val="0"/>
          <w:color w:val="auto"/>
          <w:spacing w:val="0"/>
          <w:sz w:val="32"/>
          <w:szCs w:val="32"/>
        </w:rPr>
      </w:pPr>
      <w:r>
        <w:rPr>
          <w:rFonts w:hint="eastAsia" w:ascii="方正仿宋_GBK" w:hAnsi="方正仿宋_GBK" w:eastAsia="方正仿宋_GBK" w:cs="方正仿宋_GBK"/>
          <w:i w:val="0"/>
          <w:iCs w:val="0"/>
          <w:caps w:val="0"/>
          <w:color w:val="auto"/>
          <w:spacing w:val="0"/>
          <w:sz w:val="32"/>
          <w:szCs w:val="32"/>
          <w:shd w:val="clear" w:fill="FFFFFF"/>
        </w:rPr>
        <w:t>各有关单位：</w:t>
      </w: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right="0" w:firstLine="640" w:firstLineChars="200"/>
        <w:jc w:val="left"/>
        <w:rPr>
          <w:rFonts w:hint="eastAsia" w:ascii="方正仿宋_GBK" w:hAnsi="方正仿宋_GBK" w:eastAsia="方正仿宋_GBK" w:cs="方正仿宋_GBK"/>
          <w:i w:val="0"/>
          <w:iCs w:val="0"/>
          <w:caps w:val="0"/>
          <w:color w:val="auto"/>
          <w:spacing w:val="0"/>
          <w:sz w:val="32"/>
          <w:szCs w:val="32"/>
          <w:shd w:val="clear" w:fill="FFFFFF"/>
        </w:rPr>
      </w:pPr>
      <w:r>
        <w:rPr>
          <w:rFonts w:hint="eastAsia" w:ascii="方正仿宋_GBK" w:hAnsi="方正仿宋_GBK" w:eastAsia="方正仿宋_GBK" w:cs="方正仿宋_GBK"/>
          <w:i w:val="0"/>
          <w:iCs w:val="0"/>
          <w:caps w:val="0"/>
          <w:color w:val="auto"/>
          <w:spacing w:val="0"/>
          <w:sz w:val="32"/>
          <w:szCs w:val="32"/>
          <w:shd w:val="clear" w:fill="FFFFFF"/>
          <w:lang w:eastAsia="zh-CN"/>
        </w:rPr>
        <w:t>根据</w:t>
      </w:r>
      <w:r>
        <w:rPr>
          <w:rFonts w:hint="eastAsia" w:ascii="方正仿宋_GBK" w:hAnsi="方正仿宋_GBK" w:eastAsia="方正仿宋_GBK" w:cs="方正仿宋_GBK"/>
          <w:i w:val="0"/>
          <w:iCs w:val="0"/>
          <w:caps w:val="0"/>
          <w:color w:val="auto"/>
          <w:spacing w:val="0"/>
          <w:sz w:val="32"/>
          <w:szCs w:val="32"/>
          <w:shd w:val="clear" w:fill="FFFFFF"/>
        </w:rPr>
        <w:t>新修订的《中华人民共和国专利法实施细则》和《专利审查指南》，</w:t>
      </w:r>
      <w:r>
        <w:rPr>
          <w:rFonts w:hint="eastAsia" w:ascii="方正仿宋_GBK" w:hAnsi="方正仿宋_GBK" w:eastAsia="方正仿宋_GBK" w:cs="方正仿宋_GBK"/>
          <w:i w:val="0"/>
          <w:iCs w:val="0"/>
          <w:caps w:val="0"/>
          <w:color w:val="auto"/>
          <w:spacing w:val="0"/>
          <w:sz w:val="32"/>
          <w:szCs w:val="32"/>
          <w:shd w:val="clear" w:fill="FFFFFF"/>
          <w:lang w:eastAsia="zh-CN"/>
        </w:rPr>
        <w:t>为更好地</w:t>
      </w:r>
      <w:r>
        <w:rPr>
          <w:rFonts w:hint="eastAsia" w:ascii="方正仿宋_GBK" w:hAnsi="方正仿宋_GBK" w:eastAsia="方正仿宋_GBK" w:cs="方正仿宋_GBK"/>
          <w:i w:val="0"/>
          <w:iCs w:val="0"/>
          <w:caps w:val="0"/>
          <w:color w:val="auto"/>
          <w:spacing w:val="0"/>
          <w:sz w:val="32"/>
          <w:szCs w:val="32"/>
          <w:shd w:val="clear" w:fill="FFFFFF"/>
        </w:rPr>
        <w:t>规范专利预审备案主体与代理机构的管理工作，提升专利快速预审案件质量与服务效率，助力推动</w:t>
      </w:r>
      <w:r>
        <w:rPr>
          <w:rFonts w:hint="eastAsia" w:ascii="方正仿宋_GBK" w:hAnsi="方正仿宋_GBK" w:eastAsia="方正仿宋_GBK" w:cs="方正仿宋_GBK"/>
          <w:i w:val="0"/>
          <w:iCs w:val="0"/>
          <w:caps w:val="0"/>
          <w:color w:val="auto"/>
          <w:spacing w:val="0"/>
          <w:sz w:val="32"/>
          <w:szCs w:val="32"/>
          <w:shd w:val="clear" w:fill="FFFFFF"/>
          <w:lang w:eastAsia="zh-CN"/>
        </w:rPr>
        <w:t>湘潭市智能</w:t>
      </w:r>
      <w:r>
        <w:rPr>
          <w:rFonts w:hint="eastAsia" w:ascii="方正仿宋_GBK" w:hAnsi="方正仿宋_GBK" w:eastAsia="方正仿宋_GBK" w:cs="方正仿宋_GBK"/>
          <w:i w:val="0"/>
          <w:iCs w:val="0"/>
          <w:caps w:val="0"/>
          <w:color w:val="auto"/>
          <w:spacing w:val="0"/>
          <w:sz w:val="32"/>
          <w:szCs w:val="32"/>
          <w:shd w:val="clear" w:fill="FFFFFF"/>
        </w:rPr>
        <w:t>制造、</w:t>
      </w:r>
      <w:r>
        <w:rPr>
          <w:rFonts w:hint="eastAsia" w:ascii="方正仿宋_GBK" w:hAnsi="方正仿宋_GBK" w:eastAsia="方正仿宋_GBK" w:cs="方正仿宋_GBK"/>
          <w:i w:val="0"/>
          <w:iCs w:val="0"/>
          <w:caps w:val="0"/>
          <w:color w:val="auto"/>
          <w:spacing w:val="0"/>
          <w:sz w:val="32"/>
          <w:szCs w:val="32"/>
          <w:shd w:val="clear" w:fill="FFFFFF"/>
          <w:lang w:eastAsia="zh-CN"/>
        </w:rPr>
        <w:t>生物医药</w:t>
      </w:r>
      <w:r>
        <w:rPr>
          <w:rFonts w:hint="eastAsia" w:ascii="方正仿宋_GBK" w:hAnsi="方正仿宋_GBK" w:eastAsia="方正仿宋_GBK" w:cs="方正仿宋_GBK"/>
          <w:i w:val="0"/>
          <w:iCs w:val="0"/>
          <w:caps w:val="0"/>
          <w:color w:val="auto"/>
          <w:spacing w:val="0"/>
          <w:sz w:val="32"/>
          <w:szCs w:val="32"/>
          <w:shd w:val="clear" w:fill="FFFFFF"/>
        </w:rPr>
        <w:t>产业高质量发展，我中心</w:t>
      </w:r>
      <w:r>
        <w:rPr>
          <w:rFonts w:hint="eastAsia" w:ascii="方正仿宋_GBK" w:hAnsi="方正仿宋_GBK" w:eastAsia="方正仿宋_GBK" w:cs="方正仿宋_GBK"/>
          <w:i w:val="0"/>
          <w:iCs w:val="0"/>
          <w:caps w:val="0"/>
          <w:color w:val="auto"/>
          <w:spacing w:val="0"/>
          <w:sz w:val="32"/>
          <w:szCs w:val="32"/>
          <w:shd w:val="clear" w:fill="FFFFFF"/>
          <w:lang w:eastAsia="zh-CN"/>
        </w:rPr>
        <w:t>对</w:t>
      </w:r>
      <w:r>
        <w:rPr>
          <w:rFonts w:hint="eastAsia" w:ascii="方正仿宋_GBK" w:hAnsi="方正仿宋_GBK" w:eastAsia="方正仿宋_GBK" w:cs="方正仿宋_GBK"/>
          <w:i w:val="0"/>
          <w:iCs w:val="0"/>
          <w:caps w:val="0"/>
          <w:color w:val="auto"/>
          <w:spacing w:val="0"/>
          <w:sz w:val="32"/>
          <w:szCs w:val="32"/>
          <w:shd w:val="clear" w:fill="FFFFFF"/>
        </w:rPr>
        <w:t>《湘潭市知识产权保护中心备案主体、代理机构预审服务管理办法（试行）》</w:t>
      </w:r>
      <w:r>
        <w:rPr>
          <w:rFonts w:hint="eastAsia" w:ascii="方正仿宋_GBK" w:hAnsi="方正仿宋_GBK" w:eastAsia="方正仿宋_GBK" w:cs="方正仿宋_GBK"/>
          <w:i w:val="0"/>
          <w:iCs w:val="0"/>
          <w:caps w:val="0"/>
          <w:color w:val="auto"/>
          <w:spacing w:val="0"/>
          <w:sz w:val="32"/>
          <w:szCs w:val="32"/>
          <w:shd w:val="clear" w:fill="FFFFFF"/>
          <w:lang w:eastAsia="zh-CN"/>
        </w:rPr>
        <w:t>进行了修订完善</w:t>
      </w:r>
      <w:r>
        <w:rPr>
          <w:rFonts w:hint="eastAsia" w:ascii="方正仿宋_GBK" w:hAnsi="方正仿宋_GBK" w:eastAsia="方正仿宋_GBK" w:cs="方正仿宋_GBK"/>
          <w:i w:val="0"/>
          <w:iCs w:val="0"/>
          <w:caps w:val="0"/>
          <w:color w:val="auto"/>
          <w:spacing w:val="0"/>
          <w:sz w:val="32"/>
          <w:szCs w:val="32"/>
          <w:shd w:val="clear" w:fill="FFFFFF"/>
        </w:rPr>
        <w:t>，</w:t>
      </w:r>
      <w:r>
        <w:rPr>
          <w:rFonts w:hint="eastAsia" w:ascii="方正仿宋_GBK" w:hAnsi="方正仿宋_GBK" w:eastAsia="方正仿宋_GBK" w:cs="方正仿宋_GBK"/>
          <w:i w:val="0"/>
          <w:iCs w:val="0"/>
          <w:caps w:val="0"/>
          <w:color w:val="auto"/>
          <w:spacing w:val="0"/>
          <w:sz w:val="32"/>
          <w:szCs w:val="32"/>
          <w:shd w:val="clear" w:fill="FFFFFF"/>
          <w:lang w:eastAsia="zh-CN"/>
        </w:rPr>
        <w:t>现予以印发，请遵照</w:t>
      </w:r>
      <w:r>
        <w:rPr>
          <w:rFonts w:hint="eastAsia" w:ascii="方正仿宋_GBK" w:hAnsi="方正仿宋_GBK" w:eastAsia="方正仿宋_GBK" w:cs="方正仿宋_GBK"/>
          <w:i w:val="0"/>
          <w:iCs w:val="0"/>
          <w:caps w:val="0"/>
          <w:color w:val="auto"/>
          <w:spacing w:val="0"/>
          <w:sz w:val="32"/>
          <w:szCs w:val="32"/>
          <w:shd w:val="clear" w:fill="FFFFFF"/>
        </w:rPr>
        <w:t>执行。</w:t>
      </w: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left="0" w:right="0" w:firstLine="0"/>
        <w:jc w:val="left"/>
        <w:rPr>
          <w:rFonts w:hint="eastAsia" w:ascii="方正仿宋_GBK" w:hAnsi="方正仿宋_GBK" w:eastAsia="方正仿宋_GBK" w:cs="方正仿宋_GBK"/>
          <w:i w:val="0"/>
          <w:iCs w:val="0"/>
          <w:caps w:val="0"/>
          <w:color w:val="auto"/>
          <w:spacing w:val="0"/>
          <w:sz w:val="32"/>
          <w:szCs w:val="32"/>
          <w:shd w:val="clear" w:fill="FFFFFF"/>
        </w:rPr>
      </w:pP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left="0" w:right="0" w:firstLine="540"/>
        <w:jc w:val="left"/>
        <w:rPr>
          <w:rFonts w:hint="eastAsia" w:ascii="方正仿宋_GBK" w:hAnsi="方正仿宋_GBK" w:eastAsia="方正仿宋_GBK" w:cs="方正仿宋_GBK"/>
          <w:i w:val="0"/>
          <w:iCs w:val="0"/>
          <w:caps w:val="0"/>
          <w:color w:val="auto"/>
          <w:spacing w:val="0"/>
          <w:sz w:val="32"/>
          <w:szCs w:val="32"/>
          <w:shd w:val="clear" w:fill="FFFFFF"/>
        </w:rPr>
      </w:pP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left="0" w:right="0" w:firstLine="540"/>
        <w:jc w:val="left"/>
        <w:rPr>
          <w:rFonts w:hint="eastAsia" w:ascii="方正仿宋_GBK" w:hAnsi="方正仿宋_GBK" w:eastAsia="方正仿宋_GBK" w:cs="方正仿宋_GBK"/>
          <w:i w:val="0"/>
          <w:iCs w:val="0"/>
          <w:caps w:val="0"/>
          <w:color w:val="auto"/>
          <w:spacing w:val="0"/>
          <w:sz w:val="32"/>
          <w:szCs w:val="32"/>
          <w:shd w:val="clear" w:fill="FFFFFF"/>
        </w:rPr>
      </w:pP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left="0" w:right="0" w:firstLine="0"/>
        <w:jc w:val="center"/>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2"/>
          <w:szCs w:val="32"/>
          <w:shd w:val="clear" w:fill="FFFFFF"/>
          <w:lang w:eastAsia="zh-CN"/>
        </w:rPr>
        <w:t>湘潭市</w:t>
      </w:r>
      <w:r>
        <w:rPr>
          <w:rFonts w:hint="eastAsia" w:ascii="方正仿宋_GBK" w:hAnsi="方正仿宋_GBK" w:eastAsia="方正仿宋_GBK" w:cs="方正仿宋_GBK"/>
          <w:i w:val="0"/>
          <w:iCs w:val="0"/>
          <w:caps w:val="0"/>
          <w:color w:val="333333"/>
          <w:spacing w:val="0"/>
          <w:sz w:val="32"/>
          <w:szCs w:val="32"/>
          <w:shd w:val="clear" w:fill="FFFFFF"/>
        </w:rPr>
        <w:t>知识产权保护中心</w:t>
      </w:r>
    </w:p>
    <w:p>
      <w:pPr>
        <w:pStyle w:val="10"/>
        <w:keepNext w:val="0"/>
        <w:keepLines w:val="0"/>
        <w:widowControl/>
        <w:suppressLineNumbers w:val="0"/>
        <w:pBdr>
          <w:top w:val="none" w:color="auto" w:sz="0" w:space="0"/>
          <w:bottom w:val="none" w:color="auto" w:sz="0" w:space="0"/>
        </w:pBdr>
        <w:shd w:val="clear" w:fill="FFFFFF"/>
        <w:spacing w:before="0" w:beforeAutospacing="0" w:after="0" w:afterAutospacing="0" w:line="576" w:lineRule="exact"/>
        <w:ind w:left="0" w:right="0" w:firstLine="0"/>
        <w:jc w:val="center"/>
        <w:rPr>
          <w:rFonts w:hint="eastAsia" w:ascii="方正仿宋_GBK" w:hAnsi="方正仿宋_GBK" w:eastAsia="方正仿宋_GBK" w:cs="方正仿宋_GBK"/>
          <w:i w:val="0"/>
          <w:iCs w:val="0"/>
          <w:caps w:val="0"/>
          <w:color w:val="333333"/>
          <w:spacing w:val="0"/>
          <w:sz w:val="32"/>
          <w:szCs w:val="32"/>
        </w:rPr>
      </w:pPr>
      <w:r>
        <w:rPr>
          <w:rFonts w:hint="eastAsia" w:ascii="方正仿宋_GBK" w:hAnsi="方正仿宋_GBK" w:eastAsia="方正仿宋_GBK" w:cs="方正仿宋_GBK"/>
          <w:i w:val="0"/>
          <w:iCs w:val="0"/>
          <w:caps w:val="0"/>
          <w:color w:val="333333"/>
          <w:spacing w:val="0"/>
          <w:sz w:val="32"/>
          <w:szCs w:val="32"/>
          <w:shd w:val="clear" w:fill="FFFFFF"/>
          <w:lang w:val="en-US" w:eastAsia="zh-CN"/>
        </w:rPr>
        <w:t xml:space="preserve">                          </w:t>
      </w:r>
      <w:r>
        <w:rPr>
          <w:rFonts w:hint="eastAsia" w:ascii="方正仿宋_GBK" w:hAnsi="方正仿宋_GBK" w:eastAsia="方正仿宋_GBK" w:cs="方正仿宋_GBK"/>
          <w:i w:val="0"/>
          <w:iCs w:val="0"/>
          <w:caps w:val="0"/>
          <w:color w:val="333333"/>
          <w:spacing w:val="0"/>
          <w:sz w:val="32"/>
          <w:szCs w:val="32"/>
          <w:shd w:val="clear" w:fill="FFFFFF"/>
        </w:rPr>
        <w:t>202</w:t>
      </w:r>
      <w:r>
        <w:rPr>
          <w:rFonts w:hint="eastAsia" w:ascii="方正仿宋_GBK" w:hAnsi="方正仿宋_GBK" w:eastAsia="方正仿宋_GBK" w:cs="方正仿宋_GBK"/>
          <w:i w:val="0"/>
          <w:iCs w:val="0"/>
          <w:caps w:val="0"/>
          <w:color w:val="333333"/>
          <w:spacing w:val="0"/>
          <w:sz w:val="32"/>
          <w:szCs w:val="32"/>
          <w:shd w:val="clear" w:fill="FFFFFF"/>
          <w:lang w:val="en-US" w:eastAsia="zh-CN"/>
        </w:rPr>
        <w:t>4</w:t>
      </w:r>
      <w:r>
        <w:rPr>
          <w:rFonts w:hint="eastAsia" w:ascii="方正仿宋_GBK" w:hAnsi="方正仿宋_GBK" w:eastAsia="方正仿宋_GBK" w:cs="方正仿宋_GBK"/>
          <w:i w:val="0"/>
          <w:iCs w:val="0"/>
          <w:caps w:val="0"/>
          <w:color w:val="333333"/>
          <w:spacing w:val="0"/>
          <w:sz w:val="32"/>
          <w:szCs w:val="32"/>
          <w:shd w:val="clear" w:fill="FFFFFF"/>
        </w:rPr>
        <w:t>年</w:t>
      </w:r>
      <w:r>
        <w:rPr>
          <w:rFonts w:hint="eastAsia" w:ascii="方正仿宋_GBK" w:hAnsi="方正仿宋_GBK" w:eastAsia="方正仿宋_GBK" w:cs="方正仿宋_GBK"/>
          <w:i w:val="0"/>
          <w:iCs w:val="0"/>
          <w:caps w:val="0"/>
          <w:color w:val="333333"/>
          <w:spacing w:val="0"/>
          <w:sz w:val="32"/>
          <w:szCs w:val="32"/>
          <w:shd w:val="clear" w:fill="FFFFFF"/>
          <w:lang w:val="en-US" w:eastAsia="zh-CN"/>
        </w:rPr>
        <w:t xml:space="preserve"> 3</w:t>
      </w:r>
      <w:r>
        <w:rPr>
          <w:rFonts w:hint="eastAsia" w:ascii="方正仿宋_GBK" w:hAnsi="方正仿宋_GBK" w:eastAsia="方正仿宋_GBK" w:cs="方正仿宋_GBK"/>
          <w:i w:val="0"/>
          <w:iCs w:val="0"/>
          <w:caps w:val="0"/>
          <w:color w:val="333333"/>
          <w:spacing w:val="0"/>
          <w:sz w:val="32"/>
          <w:szCs w:val="32"/>
          <w:shd w:val="clear" w:fill="FFFFFF"/>
        </w:rPr>
        <w:t>月</w:t>
      </w:r>
      <w:r>
        <w:rPr>
          <w:rFonts w:hint="eastAsia" w:ascii="方正仿宋_GBK" w:hAnsi="方正仿宋_GBK" w:eastAsia="方正仿宋_GBK" w:cs="方正仿宋_GBK"/>
          <w:i w:val="0"/>
          <w:iCs w:val="0"/>
          <w:caps w:val="0"/>
          <w:color w:val="333333"/>
          <w:spacing w:val="0"/>
          <w:sz w:val="32"/>
          <w:szCs w:val="32"/>
          <w:shd w:val="clear" w:fill="FFFFFF"/>
          <w:lang w:val="en-US" w:eastAsia="zh-CN"/>
        </w:rPr>
        <w:t>26</w:t>
      </w:r>
      <w:r>
        <w:rPr>
          <w:rFonts w:hint="eastAsia" w:ascii="方正仿宋_GBK" w:hAnsi="方正仿宋_GBK" w:eastAsia="方正仿宋_GBK" w:cs="方正仿宋_GBK"/>
          <w:i w:val="0"/>
          <w:iCs w:val="0"/>
          <w:caps w:val="0"/>
          <w:color w:val="333333"/>
          <w:spacing w:val="0"/>
          <w:sz w:val="32"/>
          <w:szCs w:val="32"/>
          <w:shd w:val="clear" w:fill="FFFFFF"/>
        </w:rPr>
        <w:t>日</w:t>
      </w:r>
    </w:p>
    <w:p>
      <w:pPr>
        <w:pStyle w:val="3"/>
        <w:widowControl/>
        <w:shd w:val="clear" w:color="auto" w:fill="FFFFFF"/>
        <w:spacing w:before="0" w:beforeAutospacing="0" w:after="0" w:afterAutospacing="0" w:line="576" w:lineRule="exact"/>
        <w:jc w:val="cente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pStyle w:val="3"/>
        <w:widowControl/>
        <w:shd w:val="clear" w:color="auto" w:fill="FFFFFF"/>
        <w:spacing w:before="0" w:beforeAutospacing="0" w:after="0" w:afterAutospacing="0" w:line="576" w:lineRule="exact"/>
        <w:jc w:val="both"/>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pStyle w:val="3"/>
        <w:widowControl/>
        <w:shd w:val="clear" w:color="auto" w:fill="FFFFFF"/>
        <w:spacing w:before="0" w:beforeAutospacing="0" w:after="0" w:afterAutospacing="0" w:line="576" w:lineRule="exact"/>
        <w:jc w:val="cente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pStyle w:val="3"/>
        <w:widowControl/>
        <w:shd w:val="clear" w:color="auto" w:fill="FFFFFF"/>
        <w:spacing w:before="0" w:beforeAutospacing="0" w:after="0" w:afterAutospacing="0" w:line="576" w:lineRule="exact"/>
        <w:jc w:val="cente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p>
    <w:p>
      <w:pPr>
        <w:pStyle w:val="3"/>
        <w:widowControl/>
        <w:shd w:val="clear" w:color="auto" w:fill="FFFFFF"/>
        <w:spacing w:before="0" w:beforeAutospacing="0" w:after="0" w:afterAutospacing="0" w:line="576" w:lineRule="exact"/>
        <w:jc w:val="cente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t>湘潭市知识产权保护中心</w:t>
      </w:r>
    </w:p>
    <w:p>
      <w:pPr>
        <w:pStyle w:val="3"/>
        <w:widowControl/>
        <w:shd w:val="clear" w:color="auto" w:fill="FFFFFF"/>
        <w:spacing w:before="0" w:beforeAutospacing="0" w:after="0" w:afterAutospacing="0" w:line="576" w:lineRule="exact"/>
        <w:jc w:val="center"/>
        <w:rPr>
          <w:rFonts w:hint="eastAsia"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pPr>
      <w:r>
        <w:rPr>
          <w:rFonts w:ascii="方正小标宋_GBK" w:hAnsi="方正小标宋_GBK" w:eastAsia="方正小标宋_GBK" w:cs="方正小标宋_GBK"/>
          <w:b w:val="0"/>
          <w:bCs w:val="0"/>
          <w:color w:val="000000" w:themeColor="text1"/>
          <w:sz w:val="44"/>
          <w:szCs w:val="44"/>
          <w:shd w:val="clear" w:color="auto" w:fill="FFFFFF"/>
          <w14:textFill>
            <w14:solidFill>
              <w14:schemeClr w14:val="tx1"/>
            </w14:solidFill>
          </w14:textFill>
        </w:rPr>
        <w:t>备案主体、代理机构预审服务管理办法</w:t>
      </w:r>
    </w:p>
    <w:p>
      <w:pPr>
        <w:pStyle w:val="3"/>
        <w:widowControl/>
        <w:shd w:val="clear" w:color="auto" w:fill="FFFFFF"/>
        <w:spacing w:before="250" w:beforeAutospacing="0" w:after="125" w:afterAutospacing="0" w:line="576" w:lineRule="exact"/>
        <w:jc w:val="center"/>
        <w:rPr>
          <w:rFonts w:ascii="方正楷体_GBK" w:hAnsi="方正楷体_GBK" w:eastAsia="方正楷体_GBK" w:cs="方正楷体_GBK"/>
          <w:b w:val="0"/>
          <w:bCs w:val="0"/>
          <w:color w:val="000000" w:themeColor="text1"/>
          <w:sz w:val="32"/>
          <w:szCs w:val="32"/>
          <w:shd w:val="clear" w:color="auto" w:fill="FFFFFF"/>
          <w14:textFill>
            <w14:solidFill>
              <w14:schemeClr w14:val="tx1"/>
            </w14:solidFill>
          </w14:textFill>
        </w:rPr>
      </w:pPr>
      <w:r>
        <w:rPr>
          <w:rFonts w:ascii="方正楷体_GBK" w:hAnsi="方正楷体_GBK" w:eastAsia="方正楷体_GBK" w:cs="方正楷体_GBK"/>
          <w:b w:val="0"/>
          <w:bCs w:val="0"/>
          <w:color w:val="000000" w:themeColor="text1"/>
          <w:sz w:val="32"/>
          <w:szCs w:val="32"/>
          <w:shd w:val="clear" w:color="auto" w:fill="FFFFFF"/>
          <w14:textFill>
            <w14:solidFill>
              <w14:schemeClr w14:val="tx1"/>
            </w14:solidFill>
          </w14:textFill>
        </w:rPr>
        <w:t>（试行）</w:t>
      </w:r>
    </w:p>
    <w:p>
      <w:pPr>
        <w:spacing w:line="576" w:lineRule="exact"/>
      </w:pPr>
    </w:p>
    <w:p>
      <w:pPr>
        <w:pStyle w:val="10"/>
        <w:widowControl/>
        <w:spacing w:beforeAutospacing="0" w:after="125" w:afterAutospacing="0" w:line="576" w:lineRule="exact"/>
        <w:ind w:firstLine="420"/>
        <w:jc w:val="center"/>
        <w:rPr>
          <w:rFonts w:ascii="黑体" w:hAnsi="黑体" w:eastAsia="黑体" w:cs="黑体"/>
          <w:color w:val="000000" w:themeColor="text1"/>
          <w:spacing w:val="10"/>
          <w:sz w:val="32"/>
          <w:szCs w:val="32"/>
          <w14:textFill>
            <w14:solidFill>
              <w14:schemeClr w14:val="tx1"/>
            </w14:solidFill>
          </w14:textFill>
        </w:rPr>
      </w:pPr>
      <w:r>
        <w:rPr>
          <w:rFonts w:hint="eastAsia" w:ascii="黑体" w:hAnsi="黑体" w:eastAsia="黑体" w:cs="黑体"/>
          <w:color w:val="000000" w:themeColor="text1"/>
          <w:spacing w:val="10"/>
          <w:sz w:val="32"/>
          <w:szCs w:val="32"/>
          <w14:textFill>
            <w14:solidFill>
              <w14:schemeClr w14:val="tx1"/>
            </w14:solidFill>
          </w14:textFill>
        </w:rPr>
        <w:t>第一章 总则</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第一条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为进一步提高专利快速预先审查（以下简称“预审”）质量，发挥专利预审服务支撑产业创新发展的积极作用，规范备案主体的管理工作，根据《国家知识产权局关于开展知识产权快速协同保护工作的通知》（国知发管字〔2016〕92号）、《国家知识产权局专利申请预审业务管理办法（试行）》（国知办发办字〔2023〕25号）、《</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知识产权保护中心和快速维权中心管理办法</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》（国知</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办</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发保字〔</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2023</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49</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号）</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仿宋_GB2312" w:hAnsi="黑体" w:eastAsia="仿宋_GB2312"/>
          <w:sz w:val="32"/>
          <w:szCs w:val="32"/>
        </w:rPr>
        <w:t>《规范申请专利行为的规定（2023）》（</w:t>
      </w:r>
      <w:r>
        <w:rPr>
          <w:rFonts w:hint="eastAsia" w:ascii="仿宋_GB2312" w:hAnsi="黑体" w:eastAsia="仿宋_GB2312"/>
          <w:sz w:val="32"/>
          <w:szCs w:val="32"/>
          <w:lang w:eastAsia="zh-CN"/>
        </w:rPr>
        <w:t>国家知识产权局令第77号</w:t>
      </w:r>
      <w:r>
        <w:rPr>
          <w:rFonts w:hint="eastAsia" w:ascii="仿宋_GB2312" w:hAnsi="黑体" w:eastAsia="仿宋_GB2312"/>
          <w:sz w:val="32"/>
          <w:szCs w:val="32"/>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等相关文件要求，湘潭市知识产权保护中心（以下简称“保护中心”）经过认真研究，结合工作实际，制定本办法。</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第二条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本办法适用于保护中心预审备案主体和代理机构管理工作。</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第三条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本办法所称备案主体是指在保护中心完成预审备案审核，并经国家知识产权局核准备案的企事业单位。</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第四条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本办法所称代理机构是指在保护中心完成预审注册审核的专利代理服务机构和从事专利代理业务的律师事务所。</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第五条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本办法所称预审服务，是指国家知识产权局专利快速审查业务通道的前置审查服务。</w:t>
      </w:r>
    </w:p>
    <w:p>
      <w:pPr>
        <w:pStyle w:val="10"/>
        <w:widowControl/>
        <w:spacing w:beforeAutospacing="0" w:after="125" w:afterAutospacing="0" w:line="576" w:lineRule="exact"/>
        <w:ind w:firstLine="642"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r>
        <w:rPr>
          <w:rFonts w:hint="eastAsia" w:ascii="方正仿宋_GBK" w:hAnsi="方正仿宋_GBK" w:eastAsia="方正仿宋_GBK" w:cs="方正仿宋_GBK"/>
          <w:b/>
          <w:bCs/>
          <w:color w:val="000000" w:themeColor="text1"/>
          <w:spacing w:val="10"/>
          <w:sz w:val="30"/>
          <w:szCs w:val="30"/>
          <w14:textFill>
            <w14:solidFill>
              <w14:schemeClr w14:val="tx1"/>
            </w14:solidFill>
          </w14:textFill>
        </w:rPr>
        <w:t>第六条</w:t>
      </w:r>
      <w:r>
        <w:rPr>
          <w:rFonts w:hint="eastAsia" w:ascii="方正仿宋_GBK" w:hAnsi="方正仿宋_GBK" w:eastAsia="方正仿宋_GBK" w:cs="方正仿宋_GBK"/>
          <w:color w:val="000000" w:themeColor="text1"/>
          <w:spacing w:val="10"/>
          <w:sz w:val="30"/>
          <w:szCs w:val="30"/>
          <w14:textFill>
            <w14:solidFill>
              <w14:schemeClr w14:val="tx1"/>
            </w14:solidFill>
          </w14:textFill>
        </w:rPr>
        <w:t xml:space="preserve"> 预审相关行为涉及以下三个阶段：预审阶段、专利申请正式递交阶段和专利申请审查阶段。</w:t>
      </w:r>
    </w:p>
    <w:p>
      <w:pPr>
        <w:pStyle w:val="10"/>
        <w:widowControl/>
        <w:spacing w:beforeAutospacing="0" w:after="125" w:afterAutospacing="0" w:line="576" w:lineRule="exact"/>
        <w:ind w:firstLine="640"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r>
        <w:rPr>
          <w:rFonts w:hint="eastAsia" w:ascii="方正仿宋_GBK" w:hAnsi="方正仿宋_GBK" w:eastAsia="方正仿宋_GBK" w:cs="方正仿宋_GBK"/>
          <w:color w:val="000000" w:themeColor="text1"/>
          <w:spacing w:val="10"/>
          <w:sz w:val="30"/>
          <w:szCs w:val="30"/>
          <w14:textFill>
            <w14:solidFill>
              <w14:schemeClr w14:val="tx1"/>
            </w14:solidFill>
          </w14:textFill>
        </w:rPr>
        <w:t>预审阶段是指申请人或代理机构向国家知识产权局正式递交专利申请之前，由保护中心对预审案件进行相关审查的阶段。</w:t>
      </w:r>
    </w:p>
    <w:p>
      <w:pPr>
        <w:pStyle w:val="10"/>
        <w:widowControl/>
        <w:spacing w:beforeAutospacing="0" w:after="125" w:afterAutospacing="0" w:line="576" w:lineRule="exact"/>
        <w:ind w:firstLine="640"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r>
        <w:rPr>
          <w:rFonts w:hint="eastAsia" w:ascii="方正仿宋_GBK" w:hAnsi="方正仿宋_GBK" w:eastAsia="方正仿宋_GBK" w:cs="方正仿宋_GBK"/>
          <w:color w:val="000000" w:themeColor="text1"/>
          <w:spacing w:val="10"/>
          <w:sz w:val="30"/>
          <w:szCs w:val="30"/>
          <w14:textFill>
            <w14:solidFill>
              <w14:schemeClr w14:val="tx1"/>
            </w14:solidFill>
          </w14:textFill>
        </w:rPr>
        <w:t>专利申请正式递交阶段是指申请人或代理机构将预审合格后的专利申请递交至国家知识产权局、获得申请号并缴纳相关费用后，将相关信息反馈至保护中心的阶段。</w:t>
      </w:r>
    </w:p>
    <w:p>
      <w:pPr>
        <w:pStyle w:val="10"/>
        <w:widowControl/>
        <w:spacing w:beforeAutospacing="0" w:after="125" w:afterAutospacing="0" w:line="576" w:lineRule="exact"/>
        <w:ind w:firstLine="640"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r>
        <w:rPr>
          <w:rFonts w:hint="eastAsia" w:ascii="方正仿宋_GBK" w:hAnsi="方正仿宋_GBK" w:eastAsia="方正仿宋_GBK" w:cs="方正仿宋_GBK"/>
          <w:color w:val="000000" w:themeColor="text1"/>
          <w:spacing w:val="10"/>
          <w:sz w:val="30"/>
          <w:szCs w:val="30"/>
          <w14:textFill>
            <w14:solidFill>
              <w14:schemeClr w14:val="tx1"/>
            </w14:solidFill>
          </w14:textFill>
        </w:rPr>
        <w:t>专利申请审查阶段是指专利申请已经进入国家知识产权局快速通道，处于国家知识产权局对其审查的阶段。</w:t>
      </w:r>
    </w:p>
    <w:p>
      <w:pPr>
        <w:pStyle w:val="10"/>
        <w:widowControl/>
        <w:spacing w:beforeAutospacing="0" w:after="125" w:afterAutospacing="0" w:line="576" w:lineRule="exact"/>
        <w:ind w:firstLine="642"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r>
        <w:rPr>
          <w:rFonts w:hint="eastAsia" w:ascii="方正仿宋_GBK" w:hAnsi="方正仿宋_GBK" w:eastAsia="方正仿宋_GBK" w:cs="方正仿宋_GBK"/>
          <w:b/>
          <w:bCs/>
          <w:color w:val="000000" w:themeColor="text1"/>
          <w:spacing w:val="10"/>
          <w:sz w:val="30"/>
          <w:szCs w:val="30"/>
          <w14:textFill>
            <w14:solidFill>
              <w14:schemeClr w14:val="tx1"/>
            </w14:solidFill>
          </w14:textFill>
        </w:rPr>
        <w:t xml:space="preserve">第七条 </w:t>
      </w:r>
      <w:r>
        <w:rPr>
          <w:rFonts w:hint="eastAsia" w:ascii="方正仿宋_GBK" w:hAnsi="方正仿宋_GBK" w:eastAsia="方正仿宋_GBK" w:cs="方正仿宋_GBK"/>
          <w:color w:val="000000" w:themeColor="text1"/>
          <w:spacing w:val="10"/>
          <w:sz w:val="30"/>
          <w:szCs w:val="30"/>
          <w14:textFill>
            <w14:solidFill>
              <w14:schemeClr w14:val="tx1"/>
            </w14:solidFill>
          </w14:textFill>
        </w:rPr>
        <w:t>备案主体、代理机构应当积极配合预审相关行为的管理工作，及时跟进预审有关事务。</w:t>
      </w:r>
    </w:p>
    <w:p>
      <w:pPr>
        <w:pStyle w:val="10"/>
        <w:widowControl/>
        <w:spacing w:beforeAutospacing="0" w:after="125" w:afterAutospacing="0" w:line="576" w:lineRule="exact"/>
        <w:ind w:firstLine="642"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r>
        <w:rPr>
          <w:rFonts w:hint="eastAsia" w:ascii="方正仿宋_GBK" w:hAnsi="方正仿宋_GBK" w:eastAsia="方正仿宋_GBK" w:cs="方正仿宋_GBK"/>
          <w:b/>
          <w:bCs/>
          <w:color w:val="000000" w:themeColor="text1"/>
          <w:spacing w:val="10"/>
          <w:sz w:val="30"/>
          <w:szCs w:val="30"/>
          <w14:textFill>
            <w14:solidFill>
              <w14:schemeClr w14:val="tx1"/>
            </w14:solidFill>
          </w14:textFill>
        </w:rPr>
        <w:t>第八条</w:t>
      </w:r>
      <w:r>
        <w:rPr>
          <w:rFonts w:hint="eastAsia" w:ascii="方正仿宋_GBK" w:hAnsi="方正仿宋_GBK" w:eastAsia="方正仿宋_GBK" w:cs="方正仿宋_GBK"/>
          <w:color w:val="000000" w:themeColor="text1"/>
          <w:spacing w:val="10"/>
          <w:sz w:val="30"/>
          <w:szCs w:val="30"/>
          <w14:textFill>
            <w14:solidFill>
              <w14:schemeClr w14:val="tx1"/>
            </w14:solidFill>
          </w14:textFill>
        </w:rPr>
        <w:t xml:space="preserve"> 保护中心对备案主体和代理机构的管理工作遵循公平、</w:t>
      </w:r>
      <w:r>
        <w:rPr>
          <w:rFonts w:hint="eastAsia" w:ascii="方正仿宋_GBK" w:hAnsi="方正仿宋_GBK" w:eastAsia="方正仿宋_GBK" w:cs="方正仿宋_GBK"/>
          <w:color w:val="000000" w:themeColor="text1"/>
          <w:spacing w:val="10"/>
          <w:sz w:val="30"/>
          <w:szCs w:val="30"/>
          <w:lang w:eastAsia="zh-CN"/>
          <w14:textFill>
            <w14:solidFill>
              <w14:schemeClr w14:val="tx1"/>
            </w14:solidFill>
          </w14:textFill>
        </w:rPr>
        <w:t>公正</w:t>
      </w:r>
      <w:r>
        <w:rPr>
          <w:rFonts w:hint="eastAsia" w:ascii="方正仿宋_GBK" w:hAnsi="方正仿宋_GBK" w:eastAsia="方正仿宋_GBK" w:cs="方正仿宋_GBK"/>
          <w:color w:val="000000" w:themeColor="text1"/>
          <w:spacing w:val="10"/>
          <w:sz w:val="30"/>
          <w:szCs w:val="30"/>
          <w14:textFill>
            <w14:solidFill>
              <w14:schemeClr w14:val="tx1"/>
            </w14:solidFill>
          </w14:textFill>
        </w:rPr>
        <w:t>、规范的原则。</w:t>
      </w:r>
    </w:p>
    <w:p>
      <w:pPr>
        <w:pStyle w:val="10"/>
        <w:widowControl/>
        <w:spacing w:beforeAutospacing="0" w:after="125" w:afterAutospacing="0" w:line="576" w:lineRule="exact"/>
        <w:ind w:firstLine="640" w:firstLineChars="200"/>
        <w:rPr>
          <w:rFonts w:ascii="方正仿宋_GBK" w:hAnsi="方正仿宋_GBK" w:eastAsia="方正仿宋_GBK" w:cs="方正仿宋_GBK"/>
          <w:color w:val="000000" w:themeColor="text1"/>
          <w:spacing w:val="10"/>
          <w:sz w:val="30"/>
          <w:szCs w:val="30"/>
          <w14:textFill>
            <w14:solidFill>
              <w14:schemeClr w14:val="tx1"/>
            </w14:solidFill>
          </w14:textFill>
        </w:rPr>
      </w:pPr>
    </w:p>
    <w:p>
      <w:pPr>
        <w:pStyle w:val="10"/>
        <w:widowControl/>
        <w:spacing w:beforeAutospacing="0" w:after="125" w:afterAutospacing="0" w:line="576" w:lineRule="exact"/>
        <w:ind w:firstLine="420"/>
        <w:jc w:val="center"/>
        <w:rPr>
          <w:rFonts w:ascii="黑体" w:hAnsi="黑体" w:eastAsia="黑体" w:cs="黑体"/>
          <w:color w:val="000000" w:themeColor="text1"/>
          <w:spacing w:val="10"/>
          <w:sz w:val="32"/>
          <w:szCs w:val="32"/>
          <w14:textFill>
            <w14:solidFill>
              <w14:schemeClr w14:val="tx1"/>
            </w14:solidFill>
          </w14:textFill>
        </w:rPr>
      </w:pPr>
      <w:r>
        <w:rPr>
          <w:rFonts w:hint="eastAsia" w:ascii="黑体" w:hAnsi="黑体" w:eastAsia="黑体" w:cs="黑体"/>
          <w:color w:val="000000" w:themeColor="text1"/>
          <w:spacing w:val="10"/>
          <w:sz w:val="32"/>
          <w:szCs w:val="32"/>
          <w14:textFill>
            <w14:solidFill>
              <w14:schemeClr w14:val="tx1"/>
            </w14:solidFill>
          </w14:textFill>
        </w:rPr>
        <w:t>第二章 企事业单位预审备案管理</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第九条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企事业单位预审备案的条件：</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（一）注册或登记地在湘潭市行政区域内，且具有独立法人资格的企事业单位；</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（二）生产、研发或经营方向应符合湘潭市知识产权保护中心的预审领域；</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（三）无非正常专利申请行为，或者存在非正常专利申请行为，但已及时纠正或消除后果；</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（四）无不良信用记录；</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（五）满足保护中心公示的其他备案条件。</w:t>
      </w:r>
    </w:p>
    <w:p>
      <w:pPr>
        <w:pStyle w:val="10"/>
        <w:widowControl/>
        <w:spacing w:before="200" w:beforeAutospacing="0" w:after="125" w:afterAutospacing="0" w:line="576" w:lineRule="exact"/>
        <w:ind w:firstLine="683"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申请成为备案主体的企事业单位，需在预审管理平台进行注册和备案申请，提交以下材料，并加盖公章：</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（一）《湘潭市知识产权保护中心专利快速预审服务备案申请表》；</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（二）企业营业执照或事业单位法人证书扫描件；</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（三）法人身份证扫描件；</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（四）保护中心要求提供的其他证明材料。</w:t>
      </w:r>
    </w:p>
    <w:p>
      <w:pPr>
        <w:pStyle w:val="10"/>
        <w:widowControl/>
        <w:spacing w:before="200" w:beforeAutospacing="0" w:after="125" w:afterAutospacing="0" w:line="576" w:lineRule="exact"/>
        <w:ind w:firstLine="683"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第十一条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保护中心对初步审核合格的备案主体进行汇总形成拟备案申请主体名录，并报送至国家知识产权局。</w:t>
      </w:r>
    </w:p>
    <w:p>
      <w:pPr>
        <w:pStyle w:val="10"/>
        <w:widowControl/>
        <w:spacing w:before="200" w:beforeAutospacing="0" w:after="125" w:afterAutospacing="0" w:line="576" w:lineRule="exact"/>
        <w:ind w:firstLine="683"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第十二条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由国家知识产权局审核、批准后，形成备案主体名单。</w:t>
      </w:r>
      <w:r>
        <w:rPr>
          <w:rFonts w:hint="eastAsia" w:ascii="方正仿宋_GBK" w:hAnsi="方正仿宋_GBK" w:eastAsia="方正仿宋_GBK" w:cs="方正仿宋_GBK"/>
          <w:color w:val="auto"/>
          <w:spacing w:val="10"/>
          <w:sz w:val="32"/>
          <w:szCs w:val="32"/>
        </w:rPr>
        <w:t>保护中心定期对备案主体名单予以公布。</w:t>
      </w:r>
    </w:p>
    <w:p>
      <w:pPr>
        <w:pStyle w:val="10"/>
        <w:widowControl/>
        <w:spacing w:before="200"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第十三条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备案主体应保证单位名称、统一社会信用代码、联系人等信息的准确性。企业营业执照或事业单位法人证书中名称发生变更的，应及时提交登记管理机关出具的变更材料和变更后的企业营业执照或事业单位法人证书，提交材料均需</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为</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扫描件加盖公章。名称变更审核合格前，不得提交预审案件。其他信息变更的，备案主体应及时进行更新。</w:t>
      </w:r>
    </w:p>
    <w:p>
      <w:pPr>
        <w:pStyle w:val="10"/>
        <w:widowControl/>
        <w:spacing w:before="200"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第十四条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备案主体委托代理机构办理预审相关业务的，应选择诚信守法、代理质量好、服务水平高的专利代理机构。与专利预审有关的代理委托关系发生变更的，备案主体应及时通知保护中心。</w:t>
      </w:r>
    </w:p>
    <w:p>
      <w:pPr>
        <w:pStyle w:val="10"/>
        <w:widowControl/>
        <w:spacing w:beforeAutospacing="0" w:after="125" w:afterAutospacing="0" w:line="576" w:lineRule="exact"/>
        <w:ind w:firstLine="420"/>
        <w:jc w:val="center"/>
        <w:rPr>
          <w:rFonts w:ascii="黑体" w:hAnsi="黑体" w:eastAsia="黑体" w:cs="黑体"/>
          <w:color w:val="000000" w:themeColor="text1"/>
          <w:spacing w:val="10"/>
          <w:sz w:val="32"/>
          <w:szCs w:val="32"/>
          <w14:textFill>
            <w14:solidFill>
              <w14:schemeClr w14:val="tx1"/>
            </w14:solidFill>
          </w14:textFill>
        </w:rPr>
      </w:pPr>
    </w:p>
    <w:p>
      <w:pPr>
        <w:pStyle w:val="10"/>
        <w:widowControl/>
        <w:spacing w:beforeAutospacing="0" w:after="125" w:afterAutospacing="0" w:line="576" w:lineRule="exact"/>
        <w:ind w:firstLine="420"/>
        <w:jc w:val="center"/>
        <w:rPr>
          <w:rFonts w:ascii="黑体" w:hAnsi="黑体" w:eastAsia="黑体" w:cs="黑体"/>
          <w:color w:val="000000" w:themeColor="text1"/>
          <w:spacing w:val="10"/>
          <w:sz w:val="32"/>
          <w:szCs w:val="32"/>
          <w14:textFill>
            <w14:solidFill>
              <w14:schemeClr w14:val="tx1"/>
            </w14:solidFill>
          </w14:textFill>
        </w:rPr>
      </w:pPr>
      <w:r>
        <w:rPr>
          <w:rFonts w:hint="eastAsia" w:ascii="黑体" w:hAnsi="黑体" w:eastAsia="黑体" w:cs="黑体"/>
          <w:color w:val="000000" w:themeColor="text1"/>
          <w:spacing w:val="10"/>
          <w:sz w:val="32"/>
          <w:szCs w:val="32"/>
          <w14:textFill>
            <w14:solidFill>
              <w14:schemeClr w14:val="tx1"/>
            </w14:solidFill>
          </w14:textFill>
        </w:rPr>
        <w:t>第三章 代理机构预审注册管理 </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代理机构预审注册的条件：</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（一）经国家知识产权局审批设立；</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（二）在国家知识产权局“专利代理管理系统”中处于正常状态；</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（三）近一年内，不存在受到各级专利行政管理部门行政处罚的行为；</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（四）无不良信用记录；</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（五）其他必要条件。</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六</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代理机构在预审管理平台注册，需提交以下资料，并加盖单位公章：</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（一）法定代表人身份证复印件；</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（二）营业执照复印件；</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（三）《湘潭市知识产权保护中心专利代理机构注册申请表》</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（四）保护中心要求提供的其他证明材料。</w:t>
      </w:r>
    </w:p>
    <w:p>
      <w:pPr>
        <w:pStyle w:val="10"/>
        <w:widowControl/>
        <w:spacing w:before="200"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七</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保护中心对代理机构预审注册申请进行审核。代理机构应在保护中心完成注册后，才可接受备案主体的委托，代理预审</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案件</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p>
    <w:p>
      <w:pPr>
        <w:pStyle w:val="10"/>
        <w:widowControl/>
        <w:spacing w:before="200"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第十八条</w:t>
      </w:r>
      <w:r>
        <w:rPr>
          <w:rFonts w:ascii="宋体" w:hAnsi="宋体" w:eastAsia="宋体" w:cs="宋体"/>
          <w:sz w:val="24"/>
          <w:szCs w:val="24"/>
        </w:rPr>
        <w:t xml:space="preserve"> </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代理机构应当保证单位名称、统一社会信用 代码、联系人、账号管理员等信息的准确性。相关信息发生变更的，应当及时向</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保护中心</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申请注册信息变更。名称变更审核合格前,不得提交预审案件。其它信息变更的，代理机构应及时进行更新。</w:t>
      </w:r>
    </w:p>
    <w:p>
      <w:pPr>
        <w:pStyle w:val="10"/>
        <w:widowControl/>
        <w:spacing w:before="200" w:beforeAutospacing="0" w:after="125" w:afterAutospacing="0" w:line="576" w:lineRule="exact"/>
        <w:ind w:firstLine="640" w:firstLineChars="200"/>
        <w:rPr>
          <w:rFonts w:ascii="方正仿宋_GBK" w:hAnsi="方正仿宋_GBK" w:eastAsia="方正仿宋_GBK" w:cs="方正仿宋_GBK"/>
          <w:color w:val="000000" w:themeColor="text1"/>
          <w:sz w:val="32"/>
          <w:szCs w:val="32"/>
          <w14:textFill>
            <w14:solidFill>
              <w14:schemeClr w14:val="tx1"/>
            </w14:solidFill>
          </w14:textFill>
        </w:rPr>
      </w:pPr>
    </w:p>
    <w:p>
      <w:pPr>
        <w:pStyle w:val="10"/>
        <w:widowControl/>
        <w:spacing w:beforeAutospacing="0" w:after="125" w:afterAutospacing="0" w:line="576" w:lineRule="exact"/>
        <w:ind w:firstLine="420"/>
        <w:jc w:val="center"/>
        <w:rPr>
          <w:rFonts w:ascii="黑体" w:hAnsi="黑体" w:eastAsia="黑体" w:cs="黑体"/>
          <w:color w:val="000000" w:themeColor="text1"/>
          <w:spacing w:val="10"/>
          <w:sz w:val="32"/>
          <w:szCs w:val="32"/>
          <w14:textFill>
            <w14:solidFill>
              <w14:schemeClr w14:val="tx1"/>
            </w14:solidFill>
          </w14:textFill>
        </w:rPr>
      </w:pPr>
      <w:r>
        <w:rPr>
          <w:rFonts w:hint="eastAsia" w:ascii="黑体" w:hAnsi="黑体" w:eastAsia="黑体" w:cs="黑体"/>
          <w:color w:val="000000" w:themeColor="text1"/>
          <w:spacing w:val="10"/>
          <w:sz w:val="32"/>
          <w:szCs w:val="32"/>
          <w14:textFill>
            <w14:solidFill>
              <w14:schemeClr w14:val="tx1"/>
            </w14:solidFill>
          </w14:textFill>
        </w:rPr>
        <w:t>第四章 动态管理 </w:t>
      </w:r>
    </w:p>
    <w:p>
      <w:pPr>
        <w:pStyle w:val="10"/>
        <w:widowControl/>
        <w:spacing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第十</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九</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保护中心按照国家知识产权局关于预审的相关规定，对违反相关规范事项的备案主体或代理机构，予以提醒</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暂缓预审服务、停止提供预审服务等处理措施。</w:t>
      </w:r>
    </w:p>
    <w:p>
      <w:pPr>
        <w:pStyle w:val="10"/>
        <w:widowControl/>
        <w:spacing w:beforeAutospacing="0" w:after="125" w:afterAutospacing="0" w:line="576" w:lineRule="exact"/>
        <w:ind w:firstLine="683" w:firstLineChars="200"/>
        <w:rPr>
          <w:rFonts w:hint="default" w:ascii="方正仿宋_GBK" w:hAnsi="方正仿宋_GBK" w:eastAsia="方正仿宋_GBK" w:cs="方正仿宋_GBK"/>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第二十条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保护中心</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在接收预审案件7个工作日内发出</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合格</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/不</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合格</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通知书；备案主体或代理机构应在接到预审</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第一次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审查意见通知书</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2</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个工作日内</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、第二次审查意见通知书</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1个工作日内</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完成意见答复</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备案主体或代理机构在接到预审</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合格</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通知书</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后应及时向国家知识产权局递交专利申请和</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完成网上缴费</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，并及时</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向</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保护中心</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反馈申请号</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和缴费凭证</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p>
    <w:p>
      <w:pPr>
        <w:pStyle w:val="10"/>
        <w:widowControl/>
        <w:spacing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二十一</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有下列情形之一</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的预审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申请，不得办理：</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一</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）预审请求主体的身份信息有误或联合申请人之一应备案却未备案的；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二</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）申请文件及相关材料不完整的；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三</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）按照专利合作条约（PCT）提出的专利国际申请、进入中国国家阶段的 PCT国际申请；</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四</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）根据《专利法》第九条第一款所规定的同一申请人同日对同样的发明创造所申请的发明专利和实用新型专利；</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五</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）分案申请；</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六</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）根据《专利法实施细则》第七条所规定的需要进行保密审查的申请；</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七</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）其他情形。</w:t>
      </w:r>
    </w:p>
    <w:p>
      <w:pPr>
        <w:pStyle w:val="10"/>
        <w:widowControl/>
        <w:spacing w:beforeAutospacing="0" w:after="125" w:afterAutospacing="0" w:line="576" w:lineRule="exact"/>
        <w:ind w:firstLine="683"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二十二</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在预审阶段，备案主体或代理机构存在以下情形之一的，</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保护中心可直接发出预审不合格通知书</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（一）</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根据</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国家知识产权局关于规范专利申请行为的</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相关</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文件，认定为属于不以保护创新为目的申请或低质量专利申请的；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二</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）提交的预审案件存在《发明/实用新型形式问题自查表》</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（见附件</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4</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或《外观设计形式问题自查表》</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（见附件</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5</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中列出的三项以上的问题，或者同一项问题出现三次以上的；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三</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）预审案件的技术方案已发表论文或投稿的；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四</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）重复提交技术方案明显相同的预审案件的；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五</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）存在提交同日申请、涉及国防专利申请等情形的预审案件，不应当受理但已受理的；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六</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）无正当理由撤回预审案件的；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七</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）在预审通过前，向国家知识产权局正式提交专利申请的；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八</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）其他应当不予通过的情形。</w:t>
      </w:r>
    </w:p>
    <w:p>
      <w:pPr>
        <w:pStyle w:val="10"/>
        <w:widowControl/>
        <w:spacing w:beforeAutospacing="0" w:after="125" w:afterAutospacing="0" w:line="576" w:lineRule="exact"/>
        <w:ind w:firstLine="683"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第二十三条</w:t>
      </w:r>
      <w:r>
        <w:rPr>
          <w:rFonts w:hint="eastAsia" w:ascii="方正仿宋_GBK" w:hAnsi="方正仿宋_GBK" w:eastAsia="方正仿宋_GBK" w:cs="方正仿宋_GBK"/>
          <w:b/>
          <w:bCs/>
          <w:color w:val="000000" w:themeColor="text1"/>
          <w:spacing w:val="1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在预审阶段，备案主体或代理机构存在以下情形之一的，保护中心发出预审不合格通知书或视为不合格：</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（一）未在指定期限内针对预审通知书指出的缺陷进行修改，或修改后仍不符合预审要求的；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（二）随意修改变更技术方案的有效组分、数据等；</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（三）无正当理由不配合电话讨论或面谈的；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（四）预审案件的技术方案与备案主体实际经营范围、发明人技术背景等情况不符，且无法提供研发证明材料的；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（五）无正当理由撤回预审案件的。</w:t>
      </w:r>
    </w:p>
    <w:p>
      <w:pPr>
        <w:pStyle w:val="10"/>
        <w:widowControl/>
        <w:spacing w:beforeAutospacing="0" w:after="125" w:afterAutospacing="0" w:line="576" w:lineRule="exact"/>
        <w:ind w:firstLine="683"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第二十四条</w:t>
      </w:r>
      <w:r>
        <w:rPr>
          <w:rFonts w:hint="eastAsia" w:ascii="方正仿宋_GBK" w:hAnsi="方正仿宋_GBK" w:eastAsia="方正仿宋_GBK" w:cs="方正仿宋_GBK"/>
          <w:b/>
          <w:bCs/>
          <w:color w:val="000000" w:themeColor="text1"/>
          <w:spacing w:val="1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在</w:t>
      </w: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预审阶段</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备案主体或代理机构存在以下情形之一的，予以提醒：</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（一）所提出的多件专利申请的发明创造内容明显相同，或者实质上由不同发明创造特征、要素简单组合形成的；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（二）所提出专利申请存在编造、伪造、变造发明创造内容、实验数据或者技术效果，或者抄袭、简单替换、拼凑现有技术或者现有设计等类似情况的；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（三）所提出专利申请的发明创造内容主要为利用计算机技术等随机生成的；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（四）所提出专利申请的发明创造为明显不符合技术改进、设计常理，或者变劣、堆砌、非必要缩限保护范围的；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（五）申请人无实际研发活动提交多件专利申请，且不能作出合理解释的；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（六）未经允许，重复提交保护范围实质相同的专利申请预审案件达三次或三次以上；</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七</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备案主体备案信息或代理机构注册信息发生变更，但未主动提交变更申请的；</w:t>
      </w:r>
    </w:p>
    <w:p>
      <w:pPr>
        <w:pStyle w:val="10"/>
        <w:widowControl/>
        <w:spacing w:beforeAutospacing="0" w:after="125" w:afterAutospacing="0" w:line="576" w:lineRule="exact"/>
        <w:ind w:firstLine="680" w:firstLineChars="200"/>
        <w:rPr>
          <w:rFonts w:hint="default" w:ascii="方正仿宋_GBK" w:hAnsi="方正仿宋_GBK" w:eastAsia="方正仿宋_GBK" w:cs="方正仿宋_GBK"/>
          <w:b w:val="0"/>
          <w:bCs w:val="0"/>
          <w:color w:val="000000" w:themeColor="text1"/>
          <w:spacing w:val="1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八</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）其他</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违反诚实信用原则</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应当予以提醒的情形。</w:t>
      </w:r>
    </w:p>
    <w:p>
      <w:pPr>
        <w:pStyle w:val="10"/>
        <w:widowControl/>
        <w:spacing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第二十</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五</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在专利申请正式递交阶段</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和</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审查阶段，备案主体或代理机构存在以下情形之一的，予以提醒：</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一</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）因不规范行为导致初审阶段发出补正通知书的；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（二）预审案件的技术方案已发表论文或投稿的，或因申请人或发明人的原因，导致递交的专利申请存在抵触申请的；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三</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）未按要求递交XML格式申请文件</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答复或补正文件的；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四</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）正式向国家知识产权局递交专利申请后，未在规定时间内完成网上缴费并反馈申请号的，或者因系统故障等特殊原因导致费用缴纳延误，但未及时向保护中心反馈的；</w:t>
      </w:r>
    </w:p>
    <w:p>
      <w:pPr>
        <w:pStyle w:val="10"/>
        <w:widowControl/>
        <w:spacing w:beforeAutospacing="0" w:after="125" w:afterAutospacing="0" w:line="576" w:lineRule="exact"/>
        <w:ind w:firstLine="680" w:firstLineChars="200"/>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五</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）违反《承诺书》</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（见附件</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规定</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的；</w:t>
      </w:r>
    </w:p>
    <w:p>
      <w:pPr>
        <w:pStyle w:val="10"/>
        <w:widowControl/>
        <w:spacing w:beforeAutospacing="0" w:after="125" w:afterAutospacing="0" w:line="576" w:lineRule="exact"/>
        <w:ind w:firstLine="68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六</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）其他应当予以提醒的情形。</w:t>
      </w:r>
    </w:p>
    <w:p>
      <w:pPr>
        <w:spacing w:after="125" w:line="576" w:lineRule="exact"/>
        <w:ind w:firstLine="683"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kern w:val="0"/>
          <w:sz w:val="32"/>
          <w:szCs w:val="32"/>
          <w:lang w:bidi="ar"/>
          <w14:textFill>
            <w14:solidFill>
              <w14:schemeClr w14:val="tx1"/>
            </w14:solidFill>
          </w14:textFill>
        </w:rPr>
        <w:t>第二十</w:t>
      </w:r>
      <w:r>
        <w:rPr>
          <w:rFonts w:hint="eastAsia" w:ascii="方正仿宋_GBK" w:hAnsi="方正仿宋_GBK" w:eastAsia="方正仿宋_GBK" w:cs="方正仿宋_GBK"/>
          <w:b/>
          <w:bCs/>
          <w:color w:val="000000" w:themeColor="text1"/>
          <w:spacing w:val="10"/>
          <w:kern w:val="0"/>
          <w:sz w:val="32"/>
          <w:szCs w:val="32"/>
          <w:lang w:eastAsia="zh-CN" w:bidi="ar"/>
          <w14:textFill>
            <w14:solidFill>
              <w14:schemeClr w14:val="tx1"/>
            </w14:solidFill>
          </w14:textFill>
        </w:rPr>
        <w:t>六</w:t>
      </w:r>
      <w:r>
        <w:rPr>
          <w:rFonts w:hint="eastAsia" w:ascii="方正仿宋_GBK" w:hAnsi="方正仿宋_GBK" w:eastAsia="方正仿宋_GBK" w:cs="方正仿宋_GBK"/>
          <w:b/>
          <w:bCs/>
          <w:color w:val="000000" w:themeColor="text1"/>
          <w:spacing w:val="10"/>
          <w:kern w:val="0"/>
          <w:sz w:val="32"/>
          <w:szCs w:val="32"/>
          <w:lang w:bidi="ar"/>
          <w14:textFill>
            <w14:solidFill>
              <w14:schemeClr w14:val="tx1"/>
            </w14:solidFill>
          </w14:textFill>
        </w:rPr>
        <w:t>条</w:t>
      </w:r>
      <w:r>
        <w:rPr>
          <w:rFonts w:hint="eastAsia" w:ascii="方正仿宋_GBK" w:hAnsi="方正仿宋_GBK" w:eastAsia="方正仿宋_GBK" w:cs="方正仿宋_GBK"/>
          <w:b/>
          <w:bCs/>
          <w:color w:val="000000" w:themeColor="text1"/>
          <w:kern w:val="0"/>
          <w:sz w:val="32"/>
          <w:szCs w:val="32"/>
          <w:lang w:bidi="ar"/>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备案主体或代理机构存在以下情形之一的，暂缓预审服务</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六个月</w:t>
      </w: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 </w:t>
      </w:r>
    </w:p>
    <w:p>
      <w:pPr>
        <w:numPr>
          <w:ilvl w:val="0"/>
          <w:numId w:val="2"/>
        </w:numPr>
        <w:spacing w:after="125"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经首次提醒后，</w:t>
      </w:r>
      <w:r>
        <w:rPr>
          <w:rFonts w:hint="eastAsia" w:ascii="方正仿宋_GBK" w:hAnsi="方正仿宋_GBK" w:eastAsia="方正仿宋_GBK" w:cs="方正仿宋_GBK"/>
          <w:color w:val="000000" w:themeColor="text1"/>
          <w:sz w:val="32"/>
          <w:szCs w:val="32"/>
          <w:highlight w:val="none"/>
          <w14:textFill>
            <w14:solidFill>
              <w14:schemeClr w14:val="tx1"/>
            </w14:solidFill>
          </w14:textFill>
        </w:rPr>
        <w:t>一年内再次出现</w:t>
      </w:r>
      <w:r>
        <w:rPr>
          <w:rFonts w:hint="eastAsia" w:ascii="方正仿宋_GBK" w:hAnsi="方正仿宋_GBK" w:eastAsia="方正仿宋_GBK" w:cs="方正仿宋_GBK"/>
          <w:color w:val="000000" w:themeColor="text1"/>
          <w:sz w:val="32"/>
          <w:szCs w:val="32"/>
          <w:highlight w:val="none"/>
          <w:lang w:eastAsia="zh-CN"/>
          <w14:textFill>
            <w14:solidFill>
              <w14:schemeClr w14:val="tx1"/>
            </w14:solidFill>
          </w14:textFill>
        </w:rPr>
        <w:t>被提醒的</w:t>
      </w:r>
      <w:r>
        <w:rPr>
          <w:rFonts w:hint="eastAsia" w:ascii="方正仿宋_GBK" w:hAnsi="方正仿宋_GBK" w:eastAsia="方正仿宋_GBK" w:cs="方正仿宋_GBK"/>
          <w:color w:val="000000" w:themeColor="text1"/>
          <w:sz w:val="32"/>
          <w:szCs w:val="32"/>
          <w14:textFill>
            <w14:solidFill>
              <w14:schemeClr w14:val="tx1"/>
            </w14:solidFill>
          </w14:textFill>
        </w:rPr>
        <w:t xml:space="preserve">情形的； </w:t>
      </w:r>
    </w:p>
    <w:p>
      <w:pPr>
        <w:numPr>
          <w:ilvl w:val="0"/>
          <w:numId w:val="2"/>
        </w:numPr>
        <w:spacing w:after="125"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一个季度内，因权利要求存在新颖性问题不予通过的预审案件达2件及以上的；</w:t>
      </w:r>
    </w:p>
    <w:p>
      <w:pPr>
        <w:numPr>
          <w:ilvl w:val="0"/>
          <w:numId w:val="2"/>
        </w:numPr>
        <w:spacing w:after="125" w:line="576" w:lineRule="exact"/>
        <w:ind w:firstLine="68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提交专利预审材料质量不高、经过反复多次修改仍达不到预审要求，</w:t>
      </w: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一</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年内，此类预审材料占其提交的专利预审申请的</w:t>
      </w:r>
      <w:r>
        <w:rPr>
          <w:rFonts w:hint="eastAsia" w:ascii="方正仿宋_GBK" w:hAnsi="方正仿宋_GBK" w:eastAsia="方正仿宋_GBK" w:cs="方正仿宋_GBK"/>
          <w:color w:val="000000" w:themeColor="text1"/>
          <w:spacing w:val="10"/>
          <w:kern w:val="0"/>
          <w:sz w:val="32"/>
          <w:szCs w:val="32"/>
          <w:lang w:val="en-US" w:eastAsia="zh-CN" w:bidi="ar"/>
          <w14:textFill>
            <w14:solidFill>
              <w14:schemeClr w14:val="tx1"/>
            </w14:solidFill>
          </w14:textFill>
        </w:rPr>
        <w:t>5</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0%以上的</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numPr>
          <w:ilvl w:val="0"/>
          <w:numId w:val="2"/>
        </w:numPr>
        <w:spacing w:after="125"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一年内有国家知识产权局认定为非正常专利申请且申诉未通过的；</w:t>
      </w:r>
    </w:p>
    <w:p>
      <w:pPr>
        <w:numPr>
          <w:ilvl w:val="0"/>
          <w:numId w:val="2"/>
        </w:numPr>
        <w:spacing w:after="125" w:line="576" w:lineRule="exact"/>
        <w:ind w:firstLine="640" w:firstLineChars="200"/>
        <w:rPr>
          <w:rFonts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委托非本代理机构工作人员撰写专利的；</w:t>
      </w:r>
    </w:p>
    <w:p>
      <w:pPr>
        <w:numPr>
          <w:ilvl w:val="0"/>
          <w:numId w:val="2"/>
        </w:numPr>
        <w:spacing w:after="125" w:line="576" w:lineRule="exact"/>
        <w:ind w:firstLine="68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b w:val="0"/>
          <w:bCs w:val="0"/>
          <w:color w:val="000000" w:themeColor="text1"/>
          <w:spacing w:val="10"/>
          <w:kern w:val="0"/>
          <w:sz w:val="32"/>
          <w:szCs w:val="32"/>
          <w:lang w:bidi="ar"/>
          <w14:textFill>
            <w14:solidFill>
              <w14:schemeClr w14:val="tx1"/>
            </w14:solidFill>
          </w14:textFill>
        </w:rPr>
        <w:t>干扰或不配合专利申请预审相关工作的</w:t>
      </w:r>
      <w:r>
        <w:rPr>
          <w:rFonts w:hint="eastAsia" w:ascii="方正仿宋_GBK" w:hAnsi="方正仿宋_GBK" w:eastAsia="方正仿宋_GBK" w:cs="方正仿宋_GBK"/>
          <w:b w:val="0"/>
          <w:bCs w:val="0"/>
          <w:color w:val="000000" w:themeColor="text1"/>
          <w:spacing w:val="10"/>
          <w:kern w:val="0"/>
          <w:sz w:val="32"/>
          <w:szCs w:val="32"/>
          <w:lang w:eastAsia="zh-CN" w:bidi="ar"/>
          <w14:textFill>
            <w14:solidFill>
              <w14:schemeClr w14:val="tx1"/>
            </w14:solidFill>
          </w14:textFill>
        </w:rPr>
        <w:t>；</w:t>
      </w:r>
    </w:p>
    <w:p>
      <w:pPr>
        <w:numPr>
          <w:ilvl w:val="0"/>
          <w:numId w:val="2"/>
        </w:numPr>
        <w:spacing w:after="125" w:line="576" w:lineRule="exact"/>
        <w:ind w:firstLine="680" w:firstLineChars="200"/>
        <w:rPr>
          <w:rFonts w:hint="default" w:ascii="方正仿宋_GBK" w:hAnsi="方正仿宋_GBK" w:eastAsia="方正仿宋_GBK" w:cs="方正仿宋_GBK"/>
          <w:color w:val="000000" w:themeColor="text1"/>
          <w:sz w:val="32"/>
          <w:szCs w:val="32"/>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pacing w:val="10"/>
          <w:kern w:val="0"/>
          <w:sz w:val="32"/>
          <w:szCs w:val="32"/>
          <w:lang w:eastAsia="zh-CN" w:bidi="ar"/>
          <w14:textFill>
            <w14:solidFill>
              <w14:schemeClr w14:val="tx1"/>
            </w14:solidFill>
          </w14:textFill>
        </w:rPr>
        <w:t>其他不符合保护中心预审相关规定且影响较大的情形</w:t>
      </w:r>
      <w:r>
        <w:rPr>
          <w:rFonts w:hint="eastAsia" w:ascii="方正仿宋_GBK" w:hAnsi="方正仿宋_GBK" w:eastAsia="方正仿宋_GBK" w:cs="方正仿宋_GBK"/>
          <w:color w:val="000000" w:themeColor="text1"/>
          <w:sz w:val="32"/>
          <w:szCs w:val="32"/>
          <w14:textFill>
            <w14:solidFill>
              <w14:schemeClr w14:val="tx1"/>
            </w14:solidFill>
          </w14:textFill>
        </w:rPr>
        <w:t>。</w:t>
      </w:r>
    </w:p>
    <w:p>
      <w:pPr>
        <w:widowControl/>
        <w:numPr>
          <w:ilvl w:val="-1"/>
          <w:numId w:val="0"/>
        </w:numPr>
        <w:spacing w:after="125" w:line="576" w:lineRule="exact"/>
        <w:ind w:firstLine="683"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bCs/>
          <w:color w:val="000000" w:themeColor="text1"/>
          <w:spacing w:val="10"/>
          <w:kern w:val="0"/>
          <w:sz w:val="32"/>
          <w:szCs w:val="32"/>
          <w:lang w:bidi="ar"/>
          <w14:textFill>
            <w14:solidFill>
              <w14:schemeClr w14:val="tx1"/>
            </w14:solidFill>
          </w14:textFill>
        </w:rPr>
        <w:t>第二十</w:t>
      </w:r>
      <w:r>
        <w:rPr>
          <w:rFonts w:hint="eastAsia" w:ascii="方正仿宋_GBK" w:hAnsi="方正仿宋_GBK" w:eastAsia="方正仿宋_GBK" w:cs="方正仿宋_GBK"/>
          <w:b/>
          <w:bCs/>
          <w:color w:val="000000" w:themeColor="text1"/>
          <w:spacing w:val="10"/>
          <w:kern w:val="0"/>
          <w:sz w:val="32"/>
          <w:szCs w:val="32"/>
          <w:lang w:eastAsia="zh-CN" w:bidi="ar"/>
          <w14:textFill>
            <w14:solidFill>
              <w14:schemeClr w14:val="tx1"/>
            </w14:solidFill>
          </w14:textFill>
        </w:rPr>
        <w:t>七</w:t>
      </w:r>
      <w:r>
        <w:rPr>
          <w:rFonts w:hint="eastAsia" w:ascii="方正仿宋_GBK" w:hAnsi="方正仿宋_GBK" w:eastAsia="方正仿宋_GBK" w:cs="方正仿宋_GBK"/>
          <w:b/>
          <w:bCs/>
          <w:color w:val="000000" w:themeColor="text1"/>
          <w:spacing w:val="10"/>
          <w:kern w:val="0"/>
          <w:sz w:val="32"/>
          <w:szCs w:val="32"/>
          <w:lang w:bidi="ar"/>
          <w14:textFill>
            <w14:solidFill>
              <w14:schemeClr w14:val="tx1"/>
            </w14:solidFill>
          </w14:textFill>
        </w:rPr>
        <w:t xml:space="preserve">条 </w:t>
      </w: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备案主体或代理机构存在以下情形之一的，暂停预审服务一年：</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提交虚假材料的；</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代理机构在国家知识产权局“专利代理管理系统”中处于异常状态，或国家、省、市专利行政管理部门公布该代理机构存在违法违规行为；</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列入经营异常名录或严重违法失信名单的；</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存在非正常专利申请代理行为且情节较为恶劣的；</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预审案件经国家知识产权局授权后，维持一年及以上比例不足90%且未向保护中心报备或者报备理由明显不充分的</w:t>
      </w:r>
      <w:r>
        <w:rPr>
          <w:rFonts w:hint="eastAsia" w:ascii="方正仿宋_GBK" w:hAnsi="方正仿宋_GBK" w:eastAsia="方正仿宋_GBK" w:cs="方正仿宋_GBK"/>
          <w:b w:val="0"/>
          <w:bCs w:val="0"/>
          <w:color w:val="000000" w:themeColor="text1"/>
          <w:spacing w:val="0"/>
          <w:kern w:val="2"/>
          <w:sz w:val="32"/>
          <w:szCs w:val="32"/>
          <w:lang w:eastAsia="zh-CN" w:bidi="ar"/>
          <w14:textFill>
            <w14:solidFill>
              <w14:schemeClr w14:val="tx1"/>
            </w14:solidFill>
          </w14:textFill>
        </w:rPr>
        <w:t>；</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预审案件经国家知识产权局授权后，一年内专利权转让超过5件且未向保护中心报备或者报备理由明显不充分的（《专利权转让报备表》见附件3）；</w:t>
      </w:r>
    </w:p>
    <w:p>
      <w:pPr>
        <w:widowControl/>
        <w:numPr>
          <w:ilvl w:val="0"/>
          <w:numId w:val="3"/>
        </w:numPr>
        <w:spacing w:after="125" w:line="576" w:lineRule="exact"/>
        <w:ind w:firstLine="640" w:firstLineChars="200"/>
        <w:jc w:val="left"/>
        <w:rPr>
          <w:rFonts w:hint="eastAsia" w:ascii="方正仿宋_GBK" w:hAnsi="方正仿宋_GBK" w:eastAsia="方正仿宋_GBK" w:cs="方正仿宋_GBK"/>
          <w:b/>
          <w:bCs/>
          <w:color w:val="000000" w:themeColor="text1"/>
          <w:spacing w:val="10"/>
          <w:kern w:val="0"/>
          <w:sz w:val="32"/>
          <w:szCs w:val="32"/>
          <w:lang w:eastAsia="zh-CN" w:bidi="ar"/>
          <w14:textFill>
            <w14:solidFill>
              <w14:schemeClr w14:val="tx1"/>
            </w14:solidFill>
          </w14:textFill>
        </w:rPr>
      </w:pP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其他干扰专利预审正常秩序且情节严重</w:t>
      </w:r>
      <w:r>
        <w:rPr>
          <w:rFonts w:hint="eastAsia" w:ascii="方正仿宋_GBK" w:hAnsi="方正仿宋_GBK" w:eastAsia="方正仿宋_GBK" w:cs="方正仿宋_GBK"/>
          <w:b w:val="0"/>
          <w:bCs w:val="0"/>
          <w:color w:val="000000" w:themeColor="text1"/>
          <w:spacing w:val="0"/>
          <w:kern w:val="2"/>
          <w:sz w:val="32"/>
          <w:szCs w:val="32"/>
          <w:lang w:eastAsia="zh-CN" w:bidi="ar"/>
          <w14:textFill>
            <w14:solidFill>
              <w14:schemeClr w14:val="tx1"/>
            </w14:solidFill>
          </w14:textFill>
        </w:rPr>
        <w:t>的</w:t>
      </w:r>
      <w:r>
        <w:rPr>
          <w:rFonts w:hint="eastAsia" w:ascii="方正仿宋_GBK" w:hAnsi="方正仿宋_GBK" w:eastAsia="方正仿宋_GBK" w:cs="方正仿宋_GBK"/>
          <w:b w:val="0"/>
          <w:bCs w:val="0"/>
          <w:color w:val="000000" w:themeColor="text1"/>
          <w:spacing w:val="0"/>
          <w:kern w:val="2"/>
          <w:sz w:val="32"/>
          <w:szCs w:val="32"/>
          <w:lang w:bidi="ar"/>
          <w14:textFill>
            <w14:solidFill>
              <w14:schemeClr w14:val="tx1"/>
            </w14:solidFill>
          </w14:textFill>
        </w:rPr>
        <w:t>。</w:t>
      </w:r>
    </w:p>
    <w:p>
      <w:pPr>
        <w:widowControl/>
        <w:spacing w:after="125" w:line="576" w:lineRule="exact"/>
        <w:ind w:firstLine="683" w:firstLineChars="200"/>
        <w:jc w:val="left"/>
        <w:rPr>
          <w:rFonts w:ascii="方正仿宋_GBK" w:hAnsi="方正仿宋_GBK" w:eastAsia="方正仿宋_GBK" w:cs="方正仿宋_GBK"/>
          <w:color w:val="000000" w:themeColor="text1"/>
          <w:kern w:val="0"/>
          <w:sz w:val="32"/>
          <w:szCs w:val="32"/>
          <w:lang w:bidi="ar"/>
          <w14:textFill>
            <w14:solidFill>
              <w14:schemeClr w14:val="tx1"/>
            </w14:solidFill>
          </w14:textFill>
        </w:rPr>
      </w:pPr>
      <w:r>
        <w:rPr>
          <w:rFonts w:hint="eastAsia" w:ascii="方正仿宋_GBK" w:hAnsi="方正仿宋_GBK" w:eastAsia="方正仿宋_GBK" w:cs="方正仿宋_GBK"/>
          <w:b/>
          <w:bCs/>
          <w:color w:val="000000" w:themeColor="text1"/>
          <w:spacing w:val="10"/>
          <w:kern w:val="0"/>
          <w:sz w:val="32"/>
          <w:szCs w:val="32"/>
          <w:lang w:bidi="ar"/>
          <w14:textFill>
            <w14:solidFill>
              <w14:schemeClr w14:val="tx1"/>
            </w14:solidFill>
          </w14:textFill>
        </w:rPr>
        <w:t>第</w:t>
      </w:r>
      <w:r>
        <w:rPr>
          <w:rFonts w:hint="eastAsia" w:ascii="方正仿宋_GBK" w:hAnsi="方正仿宋_GBK" w:eastAsia="方正仿宋_GBK" w:cs="方正仿宋_GBK"/>
          <w:b/>
          <w:bCs/>
          <w:color w:val="000000" w:themeColor="text1"/>
          <w:spacing w:val="10"/>
          <w:kern w:val="0"/>
          <w:sz w:val="32"/>
          <w:szCs w:val="32"/>
          <w:lang w:eastAsia="zh-CN" w:bidi="ar"/>
          <w14:textFill>
            <w14:solidFill>
              <w14:schemeClr w14:val="tx1"/>
            </w14:solidFill>
          </w14:textFill>
        </w:rPr>
        <w:t>二十八</w:t>
      </w:r>
      <w:r>
        <w:rPr>
          <w:rFonts w:hint="eastAsia" w:ascii="方正仿宋_GBK" w:hAnsi="方正仿宋_GBK" w:eastAsia="方正仿宋_GBK" w:cs="方正仿宋_GBK"/>
          <w:b/>
          <w:bCs/>
          <w:color w:val="000000" w:themeColor="text1"/>
          <w:spacing w:val="10"/>
          <w:kern w:val="0"/>
          <w:sz w:val="32"/>
          <w:szCs w:val="32"/>
          <w:lang w:bidi="ar"/>
          <w14:textFill>
            <w14:solidFill>
              <w14:schemeClr w14:val="tx1"/>
            </w14:solidFill>
          </w14:textFill>
        </w:rPr>
        <w:t>条</w:t>
      </w:r>
      <w:r>
        <w:rPr>
          <w:rFonts w:hint="eastAsia" w:ascii="方正仿宋_GBK" w:hAnsi="方正仿宋_GBK" w:eastAsia="方正仿宋_GBK" w:cs="方正仿宋_GBK"/>
          <w:b/>
          <w:bCs/>
          <w:color w:val="000000" w:themeColor="text1"/>
          <w:sz w:val="32"/>
          <w:szCs w:val="32"/>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备案主体或代理机构存在以下行为之一的，取消相应责任主体备案或注册资格</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，且在三年内不再受理备案申请：</w:t>
      </w:r>
    </w:p>
    <w:p>
      <w:pPr>
        <w:widowControl/>
        <w:numPr>
          <w:ilvl w:val="0"/>
          <w:numId w:val="4"/>
        </w:numPr>
        <w:spacing w:after="125" w:line="576" w:lineRule="exact"/>
        <w:ind w:firstLine="680" w:firstLineChars="200"/>
        <w:jc w:val="left"/>
        <w:rPr>
          <w:rFonts w:ascii="方正仿宋_GBK" w:hAnsi="方正仿宋_GBK" w:eastAsia="方正仿宋_GBK" w:cs="方正仿宋_GBK"/>
          <w:color w:val="000000" w:themeColor="text1"/>
          <w:spacing w:val="10"/>
          <w:kern w:val="0"/>
          <w:sz w:val="32"/>
          <w:szCs w:val="32"/>
          <w:lang w:bidi="ar"/>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首次出现暂缓预审服务半年或一年的情形后，再次出现本办法第二十六条、第二十七条中任一规定情形的</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w:t>
      </w:r>
    </w:p>
    <w:p>
      <w:pPr>
        <w:widowControl/>
        <w:numPr>
          <w:ilvl w:val="0"/>
          <w:numId w:val="4"/>
        </w:numPr>
        <w:spacing w:after="125" w:line="576" w:lineRule="exact"/>
        <w:ind w:firstLine="680" w:firstLineChars="200"/>
        <w:jc w:val="left"/>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提交专利预审材料质量不高、经过反复多次修改仍达不到预审要求，</w:t>
      </w: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一</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年内，此类预审材料占其提交的专利预审申请的</w:t>
      </w:r>
      <w:r>
        <w:rPr>
          <w:rFonts w:hint="eastAsia" w:ascii="方正仿宋_GBK" w:hAnsi="方正仿宋_GBK" w:eastAsia="方正仿宋_GBK" w:cs="方正仿宋_GBK"/>
          <w:color w:val="000000" w:themeColor="text1"/>
          <w:spacing w:val="10"/>
          <w:kern w:val="0"/>
          <w:sz w:val="32"/>
          <w:szCs w:val="32"/>
          <w:lang w:val="en-US" w:eastAsia="zh-CN" w:bidi="ar"/>
          <w14:textFill>
            <w14:solidFill>
              <w14:schemeClr w14:val="tx1"/>
            </w14:solidFill>
          </w14:textFill>
        </w:rPr>
        <w:t>7</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0%以上的</w:t>
      </w: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w:t>
      </w:r>
    </w:p>
    <w:p>
      <w:pPr>
        <w:widowControl/>
        <w:numPr>
          <w:ilvl w:val="0"/>
          <w:numId w:val="4"/>
        </w:numPr>
        <w:spacing w:after="125" w:line="576" w:lineRule="exact"/>
        <w:ind w:firstLine="680" w:firstLineChars="200"/>
        <w:jc w:val="left"/>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一年内有2件及以上的专利申请被国家知识产权局认定为非正常专利申请且申诉未通过的；</w:t>
      </w:r>
    </w:p>
    <w:p>
      <w:pPr>
        <w:widowControl/>
        <w:numPr>
          <w:ilvl w:val="0"/>
          <w:numId w:val="4"/>
        </w:numPr>
        <w:spacing w:after="125" w:line="576" w:lineRule="exact"/>
        <w:ind w:firstLine="680" w:firstLineChars="200"/>
        <w:jc w:val="left"/>
        <w:rPr>
          <w:rFonts w:ascii="方正仿宋_GBK" w:hAnsi="方正仿宋_GBK" w:eastAsia="方正仿宋_GBK" w:cs="方正仿宋_GBK"/>
          <w:color w:val="000000" w:themeColor="text1"/>
          <w:spacing w:val="10"/>
          <w:kern w:val="0"/>
          <w:sz w:val="32"/>
          <w:szCs w:val="32"/>
          <w:lang w:bidi="ar"/>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专利申请经预审合格、进入快速审查通道后，多次违反《湘潭市知识产权保护中心专利申请须知》（附件</w:t>
      </w:r>
      <w:r>
        <w:rPr>
          <w:rFonts w:hint="eastAsia" w:ascii="方正仿宋_GBK" w:hAnsi="方正仿宋_GBK" w:eastAsia="方正仿宋_GBK" w:cs="方正仿宋_GBK"/>
          <w:color w:val="000000" w:themeColor="text1"/>
          <w:spacing w:val="10"/>
          <w:kern w:val="0"/>
          <w:sz w:val="32"/>
          <w:szCs w:val="32"/>
          <w:lang w:val="en-US" w:eastAsia="zh-CN" w:bidi="ar"/>
          <w14:textFill>
            <w14:solidFill>
              <w14:schemeClr w14:val="tx1"/>
            </w14:solidFill>
          </w14:textFill>
        </w:rPr>
        <w:t>1</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）及《承诺书》（附件</w:t>
      </w:r>
      <w:r>
        <w:rPr>
          <w:rFonts w:hint="eastAsia" w:ascii="方正仿宋_GBK" w:hAnsi="方正仿宋_GBK" w:eastAsia="方正仿宋_GBK" w:cs="方正仿宋_GBK"/>
          <w:color w:val="000000" w:themeColor="text1"/>
          <w:spacing w:val="10"/>
          <w:kern w:val="0"/>
          <w:sz w:val="32"/>
          <w:szCs w:val="32"/>
          <w:lang w:val="en-US" w:eastAsia="zh-CN" w:bidi="ar"/>
          <w14:textFill>
            <w14:solidFill>
              <w14:schemeClr w14:val="tx1"/>
            </w14:solidFill>
          </w14:textFill>
        </w:rPr>
        <w:t>2</w:t>
      </w:r>
      <w:r>
        <w:rPr>
          <w:rFonts w:hint="eastAsia" w:ascii="方正仿宋_GBK" w:hAnsi="方正仿宋_GBK" w:eastAsia="方正仿宋_GBK" w:cs="方正仿宋_GBK"/>
          <w:color w:val="000000" w:themeColor="text1"/>
          <w:spacing w:val="10"/>
          <w:kern w:val="0"/>
          <w:sz w:val="32"/>
          <w:szCs w:val="32"/>
          <w:lang w:bidi="ar"/>
          <w14:textFill>
            <w14:solidFill>
              <w14:schemeClr w14:val="tx1"/>
            </w14:solidFill>
          </w14:textFill>
        </w:rPr>
        <w:t xml:space="preserve">）要求，导致专利快速审查无法顺利进行的； </w:t>
      </w:r>
    </w:p>
    <w:p>
      <w:pPr>
        <w:widowControl/>
        <w:numPr>
          <w:ilvl w:val="0"/>
          <w:numId w:val="4"/>
        </w:numPr>
        <w:spacing w:beforeAutospacing="0" w:after="125" w:afterAutospacing="0" w:line="576" w:lineRule="exact"/>
        <w:ind w:firstLine="680" w:firstLineChars="200"/>
        <w:jc w:val="left"/>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严重干扰或不配合专利申请预审相关工作的；</w:t>
      </w:r>
    </w:p>
    <w:p>
      <w:pPr>
        <w:widowControl/>
        <w:numPr>
          <w:ilvl w:val="0"/>
          <w:numId w:val="4"/>
        </w:numPr>
        <w:spacing w:beforeAutospacing="0" w:after="125" w:afterAutospacing="0" w:line="576" w:lineRule="exact"/>
        <w:ind w:firstLine="680" w:firstLineChars="200"/>
        <w:jc w:val="left"/>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kern w:val="0"/>
          <w:sz w:val="32"/>
          <w:szCs w:val="32"/>
          <w:lang w:eastAsia="zh-CN" w:bidi="ar"/>
          <w14:textFill>
            <w14:solidFill>
              <w14:schemeClr w14:val="tx1"/>
            </w14:solidFill>
          </w14:textFill>
        </w:rPr>
        <w:t>其他不良记录。</w:t>
      </w:r>
    </w:p>
    <w:p>
      <w:pPr>
        <w:pStyle w:val="16"/>
        <w:spacing w:line="576" w:lineRule="exact"/>
        <w:ind w:firstLine="669" w:firstLineChars="196"/>
        <w:rPr>
          <w:rFonts w:hint="eastAsia" w:ascii="方正仿宋_GBK" w:hAnsi="方正仿宋_GBK" w:eastAsia="方正仿宋_GBK" w:cs="方正仿宋_GBK"/>
          <w:color w:val="000000" w:themeColor="text1"/>
          <w:spacing w:val="10"/>
          <w:kern w:val="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二十九</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 xml:space="preserve">条 </w:t>
      </w:r>
      <w:r>
        <w:rPr>
          <w:rFonts w:hint="eastAsia" w:ascii="方正仿宋_GBK" w:hAnsi="方正仿宋_GBK" w:eastAsia="方正仿宋_GBK" w:cs="方正仿宋_GBK"/>
          <w:color w:val="000000" w:themeColor="text1"/>
          <w:spacing w:val="10"/>
          <w:kern w:val="0"/>
          <w:sz w:val="32"/>
          <w:szCs w:val="32"/>
          <w14:textFill>
            <w14:solidFill>
              <w14:schemeClr w14:val="tx1"/>
            </w14:solidFill>
          </w14:textFill>
        </w:rPr>
        <w:t>保护中心定期分析备案主体和代理机构在快速预审工作中存在的问题，在听取备案主体和代理机构的意见陈述后进行评价。对于评价不合格的备案主体和代理机构，将酌情取消其备案</w:t>
      </w:r>
      <w:r>
        <w:rPr>
          <w:rFonts w:hint="eastAsia" w:ascii="方正仿宋_GBK" w:hAnsi="方正仿宋_GBK" w:eastAsia="方正仿宋_GBK" w:cs="方正仿宋_GBK"/>
          <w:color w:val="000000" w:themeColor="text1"/>
          <w:spacing w:val="10"/>
          <w:kern w:val="0"/>
          <w:sz w:val="32"/>
          <w:szCs w:val="32"/>
          <w:lang w:eastAsia="zh-CN"/>
          <w14:textFill>
            <w14:solidFill>
              <w14:schemeClr w14:val="tx1"/>
            </w14:solidFill>
          </w14:textFill>
        </w:rPr>
        <w:t>或</w:t>
      </w:r>
      <w:r>
        <w:rPr>
          <w:rFonts w:hint="eastAsia" w:ascii="方正仿宋_GBK" w:hAnsi="方正仿宋_GBK" w:eastAsia="方正仿宋_GBK" w:cs="方正仿宋_GBK"/>
          <w:color w:val="000000" w:themeColor="text1"/>
          <w:spacing w:val="10"/>
          <w:kern w:val="0"/>
          <w:sz w:val="32"/>
          <w:szCs w:val="32"/>
          <w14:textFill>
            <w14:solidFill>
              <w14:schemeClr w14:val="tx1"/>
            </w14:solidFill>
          </w14:textFill>
        </w:rPr>
        <w:t>注册资格，并通知相关主体。</w:t>
      </w:r>
    </w:p>
    <w:p>
      <w:pPr>
        <w:pStyle w:val="16"/>
        <w:spacing w:line="576" w:lineRule="exact"/>
        <w:ind w:firstLine="669" w:firstLineChars="196"/>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三十</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b/>
          <w:bCs/>
          <w:color w:val="000000" w:themeColor="text1"/>
          <w:spacing w:val="1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被暂停预审服务的备案主体或代理机构应当进行整改，期满后可向保护中心提交书面恢复申请，保护中心视其整改情况决定是否恢复预审服务。</w:t>
      </w:r>
    </w:p>
    <w:p>
      <w:pPr>
        <w:pStyle w:val="16"/>
        <w:spacing w:line="576" w:lineRule="exact"/>
        <w:ind w:firstLine="669" w:firstLineChars="196"/>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三十一</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b/>
          <w:bCs/>
          <w:color w:val="000000" w:themeColor="text1"/>
          <w:spacing w:val="10"/>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b w:val="0"/>
          <w:bCs w:val="0"/>
          <w:color w:val="000000" w:themeColor="text1"/>
          <w:spacing w:val="10"/>
          <w:sz w:val="32"/>
          <w:szCs w:val="32"/>
          <w:lang w:val="en-US" w:eastAsia="zh-CN"/>
          <w14:textFill>
            <w14:solidFill>
              <w14:schemeClr w14:val="tx1"/>
            </w14:solidFill>
          </w14:textFill>
        </w:rPr>
        <w:t>备案主体或代理机构接到保护中心发出的提醒、暂停预审服务、取消备案或注册资格等通知书后，对处理结果有异议的，可在15个工作日内向保护中心提交书面申诉材料。保护中心接到申诉材料后应在5个工作日内组织合议，于10个工作日内将合议结果书面回复申请人，并按照合议结果进行处理。申诉期间，不影响处理结果的执行。</w:t>
      </w:r>
    </w:p>
    <w:p>
      <w:pPr>
        <w:pStyle w:val="10"/>
        <w:widowControl/>
        <w:spacing w:before="200" w:beforeAutospacing="0" w:after="125" w:afterAutospacing="0" w:line="576" w:lineRule="exact"/>
        <w:ind w:firstLine="683" w:firstLineChars="200"/>
        <w:jc w:val="both"/>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三十二</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 xml:space="preserve">条 </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已备案单位（须作为第一申请人）与未备案的单位作共同申请的，需提交相应说明材料（共同研发合同等），且每个已备案单位每年此类专利申请不得超过5件。</w:t>
      </w:r>
    </w:p>
    <w:p>
      <w:pPr>
        <w:pStyle w:val="10"/>
        <w:widowControl/>
        <w:spacing w:before="200" w:beforeAutospacing="0" w:after="125" w:afterAutospacing="0" w:line="576" w:lineRule="exact"/>
        <w:ind w:firstLine="683" w:firstLineChars="200"/>
        <w:jc w:val="both"/>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三十三</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备案主体自备案公布之日起两年内未向保护中心提交任何预审申请案件，视为放弃备案资格。</w:t>
      </w:r>
    </w:p>
    <w:p>
      <w:pPr>
        <w:pStyle w:val="10"/>
        <w:widowControl/>
        <w:spacing w:before="200" w:beforeAutospacing="0" w:after="125" w:afterAutospacing="0" w:line="576" w:lineRule="exact"/>
        <w:ind w:firstLine="683"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三十四</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 xml:space="preserve">条 </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已完成备案的主体，如自愿放弃备案资格，可向保护中心提出书面申请。</w:t>
      </w:r>
    </w:p>
    <w:p>
      <w:pPr>
        <w:pStyle w:val="10"/>
        <w:widowControl/>
        <w:spacing w:beforeAutospacing="0" w:after="125" w:afterAutospacing="0" w:line="576" w:lineRule="exact"/>
        <w:ind w:firstLine="420"/>
        <w:jc w:val="center"/>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黑体" w:hAnsi="黑体" w:eastAsia="黑体" w:cs="黑体"/>
          <w:color w:val="000000" w:themeColor="text1"/>
          <w:spacing w:val="10"/>
          <w:sz w:val="32"/>
          <w:szCs w:val="32"/>
          <w14:textFill>
            <w14:solidFill>
              <w14:schemeClr w14:val="tx1"/>
            </w14:solidFill>
          </w14:textFill>
        </w:rPr>
        <w:t>第五章 附则</w:t>
      </w:r>
    </w:p>
    <w:p>
      <w:pPr>
        <w:pStyle w:val="10"/>
        <w:widowControl/>
        <w:spacing w:beforeAutospacing="0" w:after="125" w:afterAutospacing="0" w:line="576" w:lineRule="exact"/>
        <w:ind w:firstLine="683" w:firstLineChars="200"/>
        <w:rPr>
          <w:rFonts w:ascii="方正仿宋_GBK" w:hAnsi="方正仿宋_GBK" w:eastAsia="方正仿宋_GBK" w:cs="方正仿宋_GBK"/>
          <w:b/>
          <w:bCs/>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第</w:t>
      </w:r>
      <w:r>
        <w:rPr>
          <w:rFonts w:hint="eastAsia" w:ascii="方正仿宋_GBK" w:hAnsi="方正仿宋_GBK" w:eastAsia="方正仿宋_GBK" w:cs="方正仿宋_GBK"/>
          <w:b/>
          <w:bCs/>
          <w:color w:val="000000" w:themeColor="text1"/>
          <w:spacing w:val="10"/>
          <w:sz w:val="32"/>
          <w:szCs w:val="32"/>
          <w:lang w:eastAsia="zh-CN"/>
          <w14:textFill>
            <w14:solidFill>
              <w14:schemeClr w14:val="tx1"/>
            </w14:solidFill>
          </w14:textFill>
        </w:rPr>
        <w:t>三十五</w:t>
      </w:r>
      <w:r>
        <w:rPr>
          <w:rFonts w:hint="eastAsia" w:ascii="方正仿宋_GBK" w:hAnsi="方正仿宋_GBK" w:eastAsia="方正仿宋_GBK" w:cs="方正仿宋_GBK"/>
          <w:b/>
          <w:bCs/>
          <w:color w:val="000000" w:themeColor="text1"/>
          <w:spacing w:val="10"/>
          <w:sz w:val="32"/>
          <w:szCs w:val="32"/>
          <w14:textFill>
            <w14:solidFill>
              <w14:schemeClr w14:val="tx1"/>
            </w14:solidFill>
          </w14:textFill>
        </w:rPr>
        <w:t>条</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 xml:space="preserve"> 本办法由湘潭市知识产权保护中心负责解释，自</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发布之日</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起施行。</w:t>
      </w:r>
    </w:p>
    <w:p>
      <w:pPr>
        <w:pStyle w:val="10"/>
        <w:widowControl/>
        <w:spacing w:before="200" w:beforeAutospacing="0" w:after="125" w:afterAutospacing="0" w:line="576" w:lineRule="exact"/>
        <w:ind w:firstLine="680" w:firstLineChars="200"/>
        <w:rPr>
          <w:rFonts w:ascii="方正仿宋_GBK" w:hAnsi="方正仿宋_GBK" w:eastAsia="方正仿宋_GBK" w:cs="方正仿宋_GBK"/>
          <w:color w:val="000000" w:themeColor="text1"/>
          <w:spacing w:val="10"/>
          <w:sz w:val="32"/>
          <w:szCs w:val="32"/>
          <w14:textFill>
            <w14:solidFill>
              <w14:schemeClr w14:val="tx1"/>
            </w14:solidFill>
          </w14:textFill>
        </w:rPr>
      </w:pPr>
    </w:p>
    <w:p>
      <w:pPr>
        <w:pStyle w:val="11"/>
        <w:numPr>
          <w:ilvl w:val="-1"/>
          <w:numId w:val="0"/>
        </w:numPr>
        <w:spacing w:line="576" w:lineRule="exact"/>
        <w:ind w:left="0" w:leftChars="0" w:firstLine="680"/>
        <w:rPr>
          <w:rFonts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14:textFill>
            <w14:solidFill>
              <w14:schemeClr w14:val="tx1"/>
            </w14:solidFill>
          </w14:textFill>
        </w:rPr>
        <w:t>附件：</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1.</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湘潭市知识产权保护中心专利申请须知</w:t>
      </w:r>
    </w:p>
    <w:p>
      <w:pPr>
        <w:pStyle w:val="11"/>
        <w:spacing w:line="576" w:lineRule="exact"/>
        <w:ind w:left="1077" w:leftChars="513" w:firstLine="598" w:firstLineChars="176"/>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2</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.承诺书</w:t>
      </w:r>
    </w:p>
    <w:p>
      <w:pPr>
        <w:pStyle w:val="11"/>
        <w:spacing w:line="576" w:lineRule="exact"/>
        <w:ind w:left="1077" w:leftChars="513" w:firstLine="598" w:firstLineChars="176"/>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3.专利权转让报备表</w:t>
      </w:r>
    </w:p>
    <w:p>
      <w:pPr>
        <w:pStyle w:val="11"/>
        <w:spacing w:line="576" w:lineRule="exact"/>
        <w:ind w:left="1077" w:leftChars="513" w:firstLine="598" w:firstLineChars="176"/>
        <w:rPr>
          <w:rFonts w:hint="eastAsia" w:ascii="方正仿宋_GBK" w:hAnsi="方正仿宋_GBK" w:eastAsia="方正仿宋_GBK" w:cs="方正仿宋_GBK"/>
          <w:color w:val="000000" w:themeColor="text1"/>
          <w:spacing w:val="10"/>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4</w:t>
      </w:r>
      <w:r>
        <w:rPr>
          <w:rFonts w:hint="eastAsia" w:ascii="方正仿宋_GBK" w:hAnsi="方正仿宋_GBK" w:eastAsia="方正仿宋_GBK" w:cs="方正仿宋_GBK"/>
          <w:color w:val="000000" w:themeColor="text1"/>
          <w:spacing w:val="10"/>
          <w:sz w:val="32"/>
          <w:szCs w:val="32"/>
          <w14:textFill>
            <w14:solidFill>
              <w14:schemeClr w14:val="tx1"/>
            </w14:solidFill>
          </w14:textFill>
        </w:rPr>
        <w:t>.</w:t>
      </w:r>
      <w:r>
        <w:rPr>
          <w:rFonts w:hint="eastAsia" w:ascii="方正仿宋_GBK" w:hAnsi="方正仿宋_GBK" w:eastAsia="方正仿宋_GBK" w:cs="方正仿宋_GBK"/>
          <w:color w:val="000000" w:themeColor="text1"/>
          <w:spacing w:val="10"/>
          <w:sz w:val="32"/>
          <w:szCs w:val="32"/>
          <w:lang w:eastAsia="zh-CN"/>
          <w14:textFill>
            <w14:solidFill>
              <w14:schemeClr w14:val="tx1"/>
            </w14:solidFill>
          </w14:textFill>
        </w:rPr>
        <w:t>发明</w:t>
      </w: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/实用新型形式问题自查表</w:t>
      </w:r>
    </w:p>
    <w:p>
      <w:pPr>
        <w:pStyle w:val="11"/>
        <w:numPr>
          <w:ilvl w:val="-1"/>
          <w:numId w:val="0"/>
        </w:numPr>
        <w:spacing w:line="576" w:lineRule="exact"/>
        <w:ind w:left="0" w:leftChars="0" w:firstLine="1679" w:firstLineChars="494"/>
        <w:rPr>
          <w:rFonts w:ascii="黑体" w:hAnsi="黑体" w:eastAsia="黑体"/>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pacing w:val="10"/>
          <w:sz w:val="32"/>
          <w:szCs w:val="32"/>
          <w:lang w:val="en-US" w:eastAsia="zh-CN"/>
          <w14:textFill>
            <w14:solidFill>
              <w14:schemeClr w14:val="tx1"/>
            </w14:solidFill>
          </w14:textFill>
        </w:rPr>
        <w:t>5.外观设计形式问题自查表</w:t>
      </w:r>
    </w:p>
    <w:p>
      <w:pPr>
        <w:spacing w:line="576" w:lineRule="exact"/>
        <w:jc w:val="left"/>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附件1</w:t>
      </w:r>
    </w:p>
    <w:p>
      <w:pPr>
        <w:spacing w:line="576" w:lineRule="exact"/>
        <w:jc w:val="center"/>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z w:val="44"/>
          <w:szCs w:val="44"/>
        </w:rPr>
        <w:t>湘潭市知识产权保护中心专利申请须知</w:t>
      </w:r>
    </w:p>
    <w:p>
      <w:pPr>
        <w:spacing w:line="576" w:lineRule="exact"/>
        <w:ind w:firstLine="640" w:firstLineChars="200"/>
        <w:rPr>
          <w:rFonts w:ascii="仿宋" w:hAnsi="仿宋" w:eastAsia="仿宋" w:cs="仿宋"/>
          <w:sz w:val="32"/>
          <w:szCs w:val="32"/>
        </w:rPr>
      </w:pP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第一条</w:t>
      </w:r>
      <w:r>
        <w:rPr>
          <w:rFonts w:hint="eastAsia" w:ascii="方正仿宋_GBK" w:hAnsi="方正仿宋_GBK" w:eastAsia="方正仿宋_GBK" w:cs="方正仿宋_GBK"/>
          <w:sz w:val="32"/>
          <w:szCs w:val="32"/>
        </w:rPr>
        <w:t xml:space="preserve"> 通过湘潭市知识产权保护中心提交的发明、实用新型或外观设计专利申请，应接受保护中心提供的快速审查预审服务。</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第二条</w:t>
      </w:r>
      <w:r>
        <w:rPr>
          <w:rFonts w:hint="eastAsia" w:ascii="方正仿宋_GBK" w:hAnsi="方正仿宋_GBK" w:eastAsia="方正仿宋_GBK" w:cs="方正仿宋_GBK"/>
          <w:sz w:val="32"/>
          <w:szCs w:val="32"/>
        </w:rPr>
        <w:t xml:space="preserve"> 申请人提交的发明、实用新型或外观设计专利申请，申请人地址及申请领域应符合保护中心的要求。</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第三条</w:t>
      </w:r>
      <w:r>
        <w:rPr>
          <w:rFonts w:hint="eastAsia" w:ascii="方正仿宋_GBK" w:hAnsi="方正仿宋_GBK" w:eastAsia="方正仿宋_GBK" w:cs="方正仿宋_GBK"/>
          <w:sz w:val="32"/>
          <w:szCs w:val="32"/>
        </w:rPr>
        <w:t xml:space="preserve"> 如果申请人希望享受专利费用减缴，应在提交专利申请前，在专利费减备案系统进行专利费减备案。</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第四条</w:t>
      </w:r>
      <w:r>
        <w:rPr>
          <w:rFonts w:hint="eastAsia" w:ascii="方正仿宋_GBK" w:hAnsi="方正仿宋_GBK" w:eastAsia="方正仿宋_GBK" w:cs="方正仿宋_GBK"/>
          <w:sz w:val="32"/>
          <w:szCs w:val="32"/>
        </w:rPr>
        <w:t xml:space="preserve"> 下列各项专利申请，不得通过快速审查通道进行办理：按照专利合作条约（PCT）提出的专利国际申请、进入中国国家阶段的 PCT 国际申请、根据《专利法》第九条第一款所规定的同一申请人同日对同样的发明创造所申请的实用新型专利和发明专利、分案申请和根据《专利法实施细则》第七条所规定的需要进行保密审查的申请。</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第五条</w:t>
      </w:r>
      <w:r>
        <w:rPr>
          <w:rFonts w:hint="eastAsia" w:ascii="方正仿宋_GBK" w:hAnsi="方正仿宋_GBK" w:eastAsia="方正仿宋_GBK" w:cs="方正仿宋_GBK"/>
          <w:sz w:val="32"/>
          <w:szCs w:val="32"/>
        </w:rPr>
        <w:t xml:space="preserve"> 有下列情形之一的，相关申请将自动转为普通申请程序，继续进行审查：</w:t>
      </w:r>
    </w:p>
    <w:p>
      <w:pPr>
        <w:spacing w:line="576"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（一）申请不满足第一至三条之一规定的；</w:t>
      </w:r>
    </w:p>
    <w:p>
      <w:pPr>
        <w:spacing w:line="576"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（二）申请人违背所签署的承诺书的；</w:t>
      </w:r>
    </w:p>
    <w:p>
      <w:pPr>
        <w:spacing w:line="576"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（三）在实用新型专利申请、外观设计专利申请初步审查中专利局需要发出审查意见通知书的；</w:t>
      </w:r>
    </w:p>
    <w:p>
      <w:pPr>
        <w:spacing w:line="576"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（四）在发明专利申请实质审查中申请人针对第二次审查意见通知书作出答复后仍未满足授权条件的。</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第六条</w:t>
      </w:r>
      <w:r>
        <w:rPr>
          <w:rFonts w:hint="eastAsia" w:ascii="方正仿宋_GBK" w:hAnsi="方正仿宋_GBK" w:eastAsia="方正仿宋_GBK" w:cs="方正仿宋_GBK"/>
          <w:sz w:val="32"/>
          <w:szCs w:val="32"/>
        </w:rPr>
        <w:t xml:space="preserve"> 申请人可以主动向专利局审查员提出电话讨论或会晤的请求，优选电话讨论形式。电话讨论或会晤后，需要申请人重新提交修改文件或者做出书面意见陈述的，原定答复期限不变。</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第七条</w:t>
      </w:r>
      <w:r>
        <w:rPr>
          <w:rFonts w:hint="eastAsia" w:ascii="方正仿宋_GBK" w:hAnsi="方正仿宋_GBK" w:eastAsia="方正仿宋_GBK" w:cs="方正仿宋_GBK"/>
          <w:sz w:val="32"/>
          <w:szCs w:val="32"/>
        </w:rPr>
        <w:t xml:space="preserve"> 申请人应在申请时缴纳公布印刷费、专利申请费、实质审查费，其他公告印刷费、授权后第一年的年费、印花税等费用应在收到专利授权通知后尽快缴纳。</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第八条</w:t>
      </w:r>
      <w:r>
        <w:rPr>
          <w:rFonts w:hint="eastAsia" w:ascii="方正仿宋_GBK" w:hAnsi="方正仿宋_GBK" w:eastAsia="方正仿宋_GBK" w:cs="方正仿宋_GBK"/>
          <w:sz w:val="32"/>
          <w:szCs w:val="32"/>
        </w:rPr>
        <w:t xml:space="preserve"> 专利申请获得授权后，一年内专利权转让不能在未报备或者报备理由明显不充分的情况下超过5件。</w:t>
      </w:r>
    </w:p>
    <w:p>
      <w:pPr>
        <w:spacing w:line="576" w:lineRule="exact"/>
        <w:ind w:firstLine="643"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第九条</w:t>
      </w:r>
      <w:r>
        <w:rPr>
          <w:rFonts w:hint="eastAsia" w:ascii="方正仿宋_GBK" w:hAnsi="方正仿宋_GBK" w:eastAsia="方正仿宋_GBK" w:cs="方正仿宋_GBK"/>
          <w:sz w:val="32"/>
          <w:szCs w:val="32"/>
        </w:rPr>
        <w:t xml:space="preserve"> 已备案单位（须作为第一申请人）与未备案的单位作共同申请的，需提交相应说明材料（共同研发合同等），且每个已备案单位每年此类专利申请不得超过5件。</w:t>
      </w:r>
    </w:p>
    <w:p>
      <w:pPr>
        <w:spacing w:line="576" w:lineRule="exact"/>
      </w:pPr>
    </w:p>
    <w:p>
      <w:pPr>
        <w:spacing w:line="576" w:lineRule="exact"/>
        <w:ind w:firstLine="640" w:firstLineChars="200"/>
        <w:rPr>
          <w:rFonts w:ascii="仿宋" w:hAnsi="仿宋" w:eastAsia="仿宋" w:cs="仿宋"/>
          <w:sz w:val="32"/>
          <w:szCs w:val="32"/>
        </w:rPr>
      </w:pPr>
    </w:p>
    <w:p>
      <w:pPr>
        <w:spacing w:line="576" w:lineRule="exact"/>
      </w:pPr>
    </w:p>
    <w:p>
      <w:pPr>
        <w:spacing w:line="576" w:lineRule="exact"/>
        <w:jc w:val="left"/>
        <w:rPr>
          <w:rFonts w:ascii="黑体" w:hAnsi="黑体" w:eastAsia="黑体"/>
          <w:color w:val="000000" w:themeColor="text1"/>
          <w:sz w:val="32"/>
          <w:szCs w:val="32"/>
          <w14:textFill>
            <w14:solidFill>
              <w14:schemeClr w14:val="tx1"/>
            </w14:solidFill>
          </w14:textFill>
        </w:rPr>
      </w:pPr>
    </w:p>
    <w:p>
      <w:pPr>
        <w:spacing w:line="576" w:lineRule="exact"/>
      </w:pPr>
      <w:r>
        <w:br w:type="page"/>
      </w:r>
    </w:p>
    <w:p>
      <w:pPr>
        <w:spacing w:line="576" w:lineRule="exact"/>
        <w:jc w:val="left"/>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w:t>
      </w:r>
      <w:r>
        <w:rPr>
          <w:rFonts w:hint="eastAsia" w:ascii="黑体" w:hAnsi="黑体" w:eastAsia="黑体"/>
          <w:color w:val="000000" w:themeColor="text1"/>
          <w:sz w:val="32"/>
          <w:szCs w:val="32"/>
          <w:lang w:val="en-US" w:eastAsia="zh-CN"/>
          <w14:textFill>
            <w14:solidFill>
              <w14:schemeClr w14:val="tx1"/>
            </w14:solidFill>
          </w14:textFill>
        </w:rPr>
        <w:t>2</w:t>
      </w:r>
    </w:p>
    <w:p>
      <w:pPr>
        <w:spacing w:line="576" w:lineRule="exact"/>
        <w:jc w:val="center"/>
        <w:rPr>
          <w:rFonts w:hint="eastAsia" w:ascii="方正小标宋_GBK" w:hAnsi="方正小标宋_GBK" w:eastAsia="方正小标宋_GBK" w:cs="方正小标宋_GBK"/>
          <w:b w:val="0"/>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 w:val="0"/>
          <w:bCs/>
          <w:color w:val="000000" w:themeColor="text1"/>
          <w:sz w:val="44"/>
          <w:szCs w:val="44"/>
          <w14:textFill>
            <w14:solidFill>
              <w14:schemeClr w14:val="tx1"/>
            </w14:solidFill>
          </w14:textFill>
        </w:rPr>
        <w:t>承诺书</w:t>
      </w:r>
    </w:p>
    <w:p>
      <w:pPr>
        <w:spacing w:line="576" w:lineRule="exact"/>
        <w:ind w:firstLine="643" w:firstLineChars="200"/>
        <w:rPr>
          <w:rFonts w:ascii="仿宋" w:hAnsi="仿宋" w:eastAsia="仿宋" w:cs="仿宋"/>
          <w:b/>
          <w:bCs/>
          <w:color w:val="000000" w:themeColor="text1"/>
          <w:sz w:val="32"/>
          <w:szCs w:val="32"/>
          <w14:textFill>
            <w14:solidFill>
              <w14:schemeClr w14:val="tx1"/>
            </w14:solidFill>
          </w14:textFill>
        </w:rPr>
      </w:pPr>
    </w:p>
    <w:p>
      <w:pPr>
        <w:spacing w:line="576" w:lineRule="exact"/>
        <w:ind w:firstLine="643" w:firstLineChars="200"/>
        <w:rPr>
          <w:rFonts w:hint="eastAsia" w:ascii="方正仿宋_GBK" w:hAnsi="方正仿宋_GBK" w:eastAsia="方正仿宋_GBK" w:cs="方正仿宋_GBK"/>
          <w:b/>
          <w:bCs/>
          <w:color w:val="000000" w:themeColor="text1"/>
          <w:sz w:val="32"/>
          <w:szCs w:val="32"/>
          <w14:textFill>
            <w14:solidFill>
              <w14:schemeClr w14:val="tx1"/>
            </w14:solidFill>
          </w14:textFill>
        </w:rPr>
      </w:pPr>
      <w:r>
        <w:rPr>
          <w:rFonts w:hint="eastAsia" w:ascii="方正仿宋_GBK" w:hAnsi="方正仿宋_GBK" w:eastAsia="方正仿宋_GBK" w:cs="方正仿宋_GBK"/>
          <w:b/>
          <w:bCs/>
          <w:color w:val="000000" w:themeColor="text1"/>
          <w:sz w:val="32"/>
          <w:szCs w:val="32"/>
          <w14:textFill>
            <w14:solidFill>
              <w14:schemeClr w14:val="tx1"/>
            </w14:solidFill>
          </w14:textFill>
        </w:rPr>
        <w:t>申请人现将名称为</w:t>
      </w:r>
      <w:r>
        <w:rPr>
          <w:rFonts w:hint="eastAsia" w:ascii="方正仿宋_GBK" w:hAnsi="方正仿宋_GBK" w:eastAsia="方正仿宋_GBK" w:cs="方正仿宋_GBK"/>
          <w:b/>
          <w:bCs/>
          <w:color w:val="000000" w:themeColor="text1"/>
          <w:sz w:val="32"/>
          <w:szCs w:val="32"/>
          <w:u w:val="single"/>
          <w14:textFill>
            <w14:solidFill>
              <w14:schemeClr w14:val="tx1"/>
            </w14:solidFill>
          </w14:textFill>
        </w:rPr>
        <w:t xml:space="preserve">                       </w:t>
      </w:r>
      <w:r>
        <w:rPr>
          <w:rFonts w:hint="eastAsia" w:ascii="方正仿宋_GBK" w:hAnsi="方正仿宋_GBK" w:eastAsia="方正仿宋_GBK" w:cs="方正仿宋_GBK"/>
          <w:b/>
          <w:bCs/>
          <w:color w:val="000000" w:themeColor="text1"/>
          <w:sz w:val="32"/>
          <w:szCs w:val="32"/>
          <w14:textFill>
            <w14:solidFill>
              <w14:schemeClr w14:val="tx1"/>
            </w14:solidFill>
          </w14:textFill>
        </w:rPr>
        <w:t>的专利申请提交，请求获得湘潭市知识产权保护中心的快速审查预审服务。申请人自愿遵守如下事项：</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一、申请人承诺将通过电子客户端或交互式平台提交符合格式要求(XML格式)的申请文件。</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二、申请人承诺在申请日或次日完成下列费用的网上足额缴费：申请费（含附加费）、公布印刷费（仅限发明专利申请）、优先权要求费（如实际发生）、实质审查费（仅限发明专利申请）。</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三、对于发明专利申请，申请人承诺在请求书中选择“请求早日公布该专利申请”，在提交专利申请的同时提交实质审查请求书，以及申请日前与发明有关的参考资料。</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四、申请人承诺将保证申请文件的质量，在提交申请时,尽可能使申请文件符合《专利法实施细则》第</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五十</w:t>
      </w:r>
      <w:r>
        <w:rPr>
          <w:rFonts w:hint="eastAsia" w:ascii="方正仿宋_GBK" w:hAnsi="方正仿宋_GBK" w:eastAsia="方正仿宋_GBK" w:cs="方正仿宋_GBK"/>
          <w:color w:val="000000" w:themeColor="text1"/>
          <w:sz w:val="32"/>
          <w:szCs w:val="32"/>
          <w14:textFill>
            <w14:solidFill>
              <w14:schemeClr w14:val="tx1"/>
            </w14:solidFill>
          </w14:textFill>
        </w:rPr>
        <w:t>条规定的初步审查的要求。</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五、申请人承诺对于根据《专利法实施细则》第二十</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七</w:t>
      </w:r>
      <w:r>
        <w:rPr>
          <w:rFonts w:hint="eastAsia" w:ascii="方正仿宋_GBK" w:hAnsi="方正仿宋_GBK" w:eastAsia="方正仿宋_GBK" w:cs="方正仿宋_GBK"/>
          <w:color w:val="000000" w:themeColor="text1"/>
          <w:sz w:val="32"/>
          <w:szCs w:val="32"/>
          <w14:textFill>
            <w14:solidFill>
              <w14:schemeClr w14:val="tx1"/>
            </w14:solidFill>
          </w14:textFill>
        </w:rPr>
        <w:t>条的规定需要对生物材料提交保藏的专利申请，在申请时提交保藏单位出具的保藏证明和存活证明。对于根据《专利法》第二十四条和《专利法实施细则》第三十</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三</w:t>
      </w:r>
      <w:r>
        <w:rPr>
          <w:rFonts w:hint="eastAsia" w:ascii="方正仿宋_GBK" w:hAnsi="方正仿宋_GBK" w:eastAsia="方正仿宋_GBK" w:cs="方正仿宋_GBK"/>
          <w:color w:val="000000" w:themeColor="text1"/>
          <w:sz w:val="32"/>
          <w:szCs w:val="32"/>
          <w14:textFill>
            <w14:solidFill>
              <w14:schemeClr w14:val="tx1"/>
            </w14:solidFill>
          </w14:textFill>
        </w:rPr>
        <w:t>条第三款的需要提交证明文件的情形，相关证明文件将在申请日一并提交。根据《专利法》第二十九条的规定要求优先权，如果按照有关的规定必须提交在先申请文件副本，申请人将在提交申请时一并提交。</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六、申请人承诺不提交《专利法》第九条第一款所规定的同一申请人同日对同样的发明创造的另一实用新型专利或发明专利、分案申请和根据《专利法实施细则》第七条所规定的需要进行保密审查的申请。</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七、申请人承诺对同一专利申请不进行重复提交。</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八、申请人承诺提交的专利申请不涉及国家知识产权局</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《规范申请专利行为的规定》（</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2023</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）（局令第</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77号</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）、《中华人民共和国专利法实施细则》第十一条</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的规定实施</w:t>
      </w:r>
      <w:r>
        <w:rPr>
          <w:rFonts w:hint="eastAsia" w:ascii="方正仿宋_GBK" w:hAnsi="方正仿宋_GBK" w:eastAsia="方正仿宋_GBK" w:cs="方正仿宋_GBK"/>
          <w:color w:val="000000" w:themeColor="text1"/>
          <w:sz w:val="32"/>
          <w:szCs w:val="32"/>
          <w14:textFill>
            <w14:solidFill>
              <w14:schemeClr w14:val="tx1"/>
            </w14:solidFill>
          </w14:textFill>
        </w:rPr>
        <w:t>非正常申请专利行为。</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九、对于发明专利申请，针对国家知识产权局发出第一、二次审查意见通知书，申请人承诺分别在10个工作日、5个工作日内提交答复意见。</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kern w:val="0"/>
          <w:sz w:val="32"/>
          <w:szCs w:val="32"/>
        </w:rPr>
        <w:t>十、对于实用新型专利申请，针对国家知识产权局发出审查意见通知书，申请人承诺在5个工作日内提交答复意见。</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十一、在审查过程中，申请人自愿放弃《专利法实施细则》第五十</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七</w:t>
      </w:r>
      <w:r>
        <w:rPr>
          <w:rFonts w:hint="eastAsia" w:ascii="方正仿宋_GBK" w:hAnsi="方正仿宋_GBK" w:eastAsia="方正仿宋_GBK" w:cs="方正仿宋_GBK"/>
          <w:color w:val="000000" w:themeColor="text1"/>
          <w:sz w:val="32"/>
          <w:szCs w:val="32"/>
          <w14:textFill>
            <w14:solidFill>
              <w14:schemeClr w14:val="tx1"/>
            </w14:solidFill>
          </w14:textFill>
        </w:rPr>
        <w:t>条第一款和第二款所规定的对申请进行主动修改的权利。</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十二、在专利申请授权公告前，申请人自愿放弃提出著录项目变更请求的权利。</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十三、对于审查员提出的电话讨论或当面讨论的约请，申请人将积极予以配合。</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十四、对于预审意见，申请人将及时陈述意见，未能在收到预审意见后在预审意见通知书中规定期限内提交陈述意见的，视为放弃本预审申请。</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十五、申请人及代理机构保证提交的申请文件已经对照《形式问题自查表》进行了检查并消除了相关问题，如因表中问题导致不能进入快速审查通道的，将自行承担相关结果。</w:t>
      </w:r>
    </w:p>
    <w:p>
      <w:pPr>
        <w:spacing w:line="576" w:lineRule="exact"/>
        <w:ind w:firstLine="640" w:firstLineChars="200"/>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十六、申请人知悉并自愿承担有关的法律风险，包括例如抵触申请带来的专利权不稳定性。对于在申请时和审查过程中放弃的权益和机会，申请人将不会在后续法律程序中主张享有。</w:t>
      </w:r>
    </w:p>
    <w:p>
      <w:pPr>
        <w:spacing w:line="576" w:lineRule="exact"/>
        <w:rPr>
          <w:rFonts w:hint="eastAsia" w:ascii="方正仿宋_GBK" w:hAnsi="方正仿宋_GBK" w:eastAsia="方正仿宋_GBK" w:cs="方正仿宋_GBK"/>
          <w:color w:val="000000" w:themeColor="text1"/>
          <w:sz w:val="32"/>
          <w:szCs w:val="32"/>
          <w14:textFill>
            <w14:solidFill>
              <w14:schemeClr w14:val="tx1"/>
            </w14:solidFill>
          </w14:textFill>
        </w:rPr>
      </w:pPr>
    </w:p>
    <w:p>
      <w:pPr>
        <w:spacing w:line="576"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代理机构（盖章）　　　　　　  申请人（盖章）：</w:t>
      </w:r>
    </w:p>
    <w:p>
      <w:pPr>
        <w:spacing w:line="576" w:lineRule="exact"/>
        <w:rPr>
          <w:rFonts w:hint="eastAsia" w:ascii="方正仿宋_GBK" w:hAnsi="方正仿宋_GBK" w:eastAsia="方正仿宋_GBK" w:cs="方正仿宋_GBK"/>
          <w:color w:val="000000" w:themeColor="text1"/>
          <w:sz w:val="32"/>
          <w:szCs w:val="32"/>
          <w14:textFill>
            <w14:solidFill>
              <w14:schemeClr w14:val="tx1"/>
            </w14:solidFill>
          </w14:textFill>
        </w:rPr>
      </w:pPr>
      <w:r>
        <w:rPr>
          <w:rFonts w:hint="eastAsia" w:ascii="方正仿宋_GBK" w:hAnsi="方正仿宋_GBK" w:eastAsia="方正仿宋_GBK" w:cs="方正仿宋_GBK"/>
          <w:color w:val="000000" w:themeColor="text1"/>
          <w:sz w:val="32"/>
          <w:szCs w:val="32"/>
          <w14:textFill>
            <w14:solidFill>
              <w14:schemeClr w14:val="tx1"/>
            </w14:solidFill>
          </w14:textFill>
        </w:rPr>
        <w:t>　　　　　　　　　　　　　　　</w:t>
      </w:r>
      <w:r>
        <w:rPr>
          <w:rFonts w:hint="eastAsia" w:ascii="方正仿宋_GBK" w:hAnsi="方正仿宋_GBK" w:eastAsia="方正仿宋_GBK" w:cs="方正仿宋_GBK"/>
          <w:color w:val="000000" w:themeColor="text1"/>
          <w:sz w:val="32"/>
          <w:szCs w:val="32"/>
          <w:lang w:val="en-US" w:eastAsia="zh-CN"/>
          <w14:textFill>
            <w14:solidFill>
              <w14:schemeClr w14:val="tx1"/>
            </w14:solidFill>
          </w14:textFill>
        </w:rPr>
        <w:t xml:space="preserve">    </w:t>
      </w:r>
      <w:r>
        <w:rPr>
          <w:rFonts w:hint="eastAsia" w:ascii="方正仿宋_GBK" w:hAnsi="方正仿宋_GBK" w:eastAsia="方正仿宋_GBK" w:cs="方正仿宋_GBK"/>
          <w:color w:val="000000" w:themeColor="text1"/>
          <w:sz w:val="32"/>
          <w:szCs w:val="32"/>
          <w14:textFill>
            <w14:solidFill>
              <w14:schemeClr w14:val="tx1"/>
            </w14:solidFill>
          </w14:textFill>
        </w:rPr>
        <w:t>日期：</w:t>
      </w:r>
    </w:p>
    <w:p>
      <w:pPr>
        <w:widowControl/>
        <w:spacing w:line="576" w:lineRule="exact"/>
        <w:jc w:val="left"/>
        <w:rPr>
          <w:color w:val="000000" w:themeColor="text1"/>
          <w14:textFill>
            <w14:solidFill>
              <w14:schemeClr w14:val="tx1"/>
            </w14:solidFill>
          </w14:textFill>
        </w:rPr>
        <w:sectPr>
          <w:footerReference r:id="rId3" w:type="default"/>
          <w:pgSz w:w="11906" w:h="16838"/>
          <w:pgMar w:top="2098" w:right="1474" w:bottom="1984" w:left="1587" w:header="851" w:footer="992" w:gutter="0"/>
          <w:pgNumType w:fmt="decimal"/>
          <w:cols w:space="425" w:num="1"/>
          <w:docGrid w:type="lines" w:linePitch="312" w:charSpace="0"/>
        </w:sectPr>
      </w:pPr>
    </w:p>
    <w:p>
      <w:pPr>
        <w:spacing w:line="560" w:lineRule="exact"/>
        <w:jc w:val="left"/>
        <w:rPr>
          <w:rFonts w:hint="eastAsia" w:ascii="黑体" w:hAnsi="黑体" w:eastAsia="黑体"/>
          <w:color w:val="000000" w:themeColor="text1"/>
          <w:sz w:val="32"/>
          <w:szCs w:val="32"/>
          <w:lang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w:t>
      </w:r>
      <w:r>
        <w:rPr>
          <w:rFonts w:hint="eastAsia" w:ascii="黑体" w:hAnsi="黑体" w:eastAsia="黑体"/>
          <w:color w:val="000000" w:themeColor="text1"/>
          <w:sz w:val="32"/>
          <w:szCs w:val="32"/>
          <w:lang w:val="en-US" w:eastAsia="zh-CN"/>
          <w14:textFill>
            <w14:solidFill>
              <w14:schemeClr w14:val="tx1"/>
            </w14:solidFill>
          </w14:textFill>
        </w:rPr>
        <w:t>3</w:t>
      </w:r>
    </w:p>
    <w:p>
      <w:pPr>
        <w:jc w:val="center"/>
        <w:rPr>
          <w:rFonts w:hint="eastAsia" w:ascii="方正小标宋简体" w:hAnsi="方正小标宋简体" w:eastAsia="方正小标宋简体" w:cs="方正小标宋简体"/>
          <w:b w:val="0"/>
          <w:bCs/>
          <w:color w:val="000000" w:themeColor="text1"/>
          <w:sz w:val="36"/>
          <w:szCs w:val="36"/>
          <w:lang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36"/>
          <w:szCs w:val="36"/>
          <w:lang w:eastAsia="zh-CN"/>
          <w14:textFill>
            <w14:solidFill>
              <w14:schemeClr w14:val="tx1"/>
            </w14:solidFill>
          </w14:textFill>
        </w:rPr>
        <w:t>专利权转让报备表</w:t>
      </w:r>
    </w:p>
    <w:tbl>
      <w:tblPr>
        <w:tblStyle w:val="13"/>
        <w:tblW w:w="8475" w:type="dxa"/>
        <w:tblInd w:w="-2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7"/>
        <w:gridCol w:w="1994"/>
        <w:gridCol w:w="2025"/>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预审案件号</w:t>
            </w:r>
          </w:p>
        </w:tc>
        <w:tc>
          <w:tcPr>
            <w:tcW w:w="1994" w:type="dxa"/>
            <w:vAlign w:val="center"/>
          </w:tcPr>
          <w:p>
            <w:pPr>
              <w:pStyle w:val="11"/>
              <w:jc w:val="center"/>
              <w:rPr>
                <w:rFonts w:hint="eastAsia" w:ascii="宋体" w:hAnsi="宋体" w:eastAsia="宋体" w:cs="宋体"/>
                <w:b w:val="0"/>
                <w:bCs w:val="0"/>
                <w:sz w:val="24"/>
                <w:szCs w:val="24"/>
                <w:vertAlign w:val="baseline"/>
                <w:lang w:eastAsia="zh-CN"/>
              </w:rPr>
            </w:pPr>
          </w:p>
        </w:tc>
        <w:tc>
          <w:tcPr>
            <w:tcW w:w="2025"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专利申请号</w:t>
            </w:r>
          </w:p>
        </w:tc>
        <w:tc>
          <w:tcPr>
            <w:tcW w:w="2149" w:type="dxa"/>
            <w:vAlign w:val="center"/>
          </w:tcPr>
          <w:p>
            <w:pPr>
              <w:pStyle w:val="11"/>
              <w:jc w:val="center"/>
              <w:rPr>
                <w:rFonts w:hint="default" w:ascii="Times New Roman" w:hAnsi="Times New Roman" w:eastAsia="宋体" w:cs="Times New Roman"/>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发明名称</w:t>
            </w:r>
          </w:p>
        </w:tc>
        <w:tc>
          <w:tcPr>
            <w:tcW w:w="1994" w:type="dxa"/>
            <w:vAlign w:val="center"/>
          </w:tcPr>
          <w:p>
            <w:pPr>
              <w:pStyle w:val="11"/>
              <w:jc w:val="center"/>
              <w:rPr>
                <w:rFonts w:hint="eastAsia" w:ascii="宋体" w:hAnsi="宋体" w:eastAsia="宋体" w:cs="宋体"/>
                <w:b w:val="0"/>
                <w:bCs w:val="0"/>
                <w:sz w:val="24"/>
                <w:szCs w:val="24"/>
                <w:vertAlign w:val="baseline"/>
                <w:lang w:eastAsia="zh-CN"/>
              </w:rPr>
            </w:pPr>
          </w:p>
        </w:tc>
        <w:tc>
          <w:tcPr>
            <w:tcW w:w="2025"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专利权转移登记</w:t>
            </w:r>
          </w:p>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生效日</w:t>
            </w:r>
          </w:p>
        </w:tc>
        <w:tc>
          <w:tcPr>
            <w:tcW w:w="2149" w:type="dxa"/>
            <w:vAlign w:val="center"/>
          </w:tcPr>
          <w:p>
            <w:pPr>
              <w:pStyle w:val="11"/>
              <w:jc w:val="center"/>
              <w:rPr>
                <w:rFonts w:hint="default" w:ascii="Times New Roman" w:hAnsi="Times New Roman" w:eastAsia="宋体" w:cs="Times New Roman"/>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转让人</w:t>
            </w:r>
          </w:p>
        </w:tc>
        <w:tc>
          <w:tcPr>
            <w:tcW w:w="1994" w:type="dxa"/>
            <w:vAlign w:val="center"/>
          </w:tcPr>
          <w:p>
            <w:pPr>
              <w:pStyle w:val="11"/>
              <w:jc w:val="center"/>
              <w:rPr>
                <w:rFonts w:hint="eastAsia" w:ascii="宋体" w:hAnsi="宋体" w:eastAsia="宋体" w:cs="宋体"/>
                <w:b w:val="0"/>
                <w:bCs w:val="0"/>
                <w:sz w:val="24"/>
                <w:szCs w:val="24"/>
                <w:vertAlign w:val="baseline"/>
                <w:lang w:eastAsia="zh-CN"/>
              </w:rPr>
            </w:pPr>
          </w:p>
        </w:tc>
        <w:tc>
          <w:tcPr>
            <w:tcW w:w="2025"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受让人</w:t>
            </w:r>
          </w:p>
        </w:tc>
        <w:tc>
          <w:tcPr>
            <w:tcW w:w="2149" w:type="dxa"/>
            <w:vAlign w:val="center"/>
          </w:tcPr>
          <w:p>
            <w:pPr>
              <w:pStyle w:val="11"/>
              <w:jc w:val="center"/>
              <w:rPr>
                <w:rFonts w:hint="default" w:ascii="Times New Roman" w:hAnsi="Times New Roman" w:eastAsia="宋体" w:cs="Times New Roman"/>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07"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联系人</w:t>
            </w:r>
          </w:p>
        </w:tc>
        <w:tc>
          <w:tcPr>
            <w:tcW w:w="1994" w:type="dxa"/>
            <w:vAlign w:val="center"/>
          </w:tcPr>
          <w:p>
            <w:pPr>
              <w:pStyle w:val="11"/>
              <w:jc w:val="center"/>
              <w:rPr>
                <w:rFonts w:hint="eastAsia" w:ascii="宋体" w:hAnsi="宋体" w:eastAsia="宋体" w:cs="宋体"/>
                <w:b w:val="0"/>
                <w:bCs w:val="0"/>
                <w:sz w:val="24"/>
                <w:szCs w:val="24"/>
                <w:vertAlign w:val="baseline"/>
                <w:lang w:eastAsia="zh-CN"/>
              </w:rPr>
            </w:pPr>
          </w:p>
        </w:tc>
        <w:tc>
          <w:tcPr>
            <w:tcW w:w="2025" w:type="dxa"/>
            <w:vAlign w:val="center"/>
          </w:tcPr>
          <w:p>
            <w:pPr>
              <w:pStyle w:val="11"/>
              <w:ind w:left="0" w:leftChars="0" w:firstLine="0" w:firstLineChars="0"/>
              <w:jc w:val="center"/>
              <w:rPr>
                <w:rFonts w:hint="eastAsia" w:ascii="宋体" w:hAnsi="宋体" w:eastAsia="宋体" w:cs="宋体"/>
                <w:b w:val="0"/>
                <w:bCs w:val="0"/>
                <w:sz w:val="24"/>
                <w:szCs w:val="24"/>
                <w:vertAlign w:val="baseline"/>
                <w:lang w:eastAsia="zh-CN"/>
              </w:rPr>
            </w:pPr>
            <w:r>
              <w:rPr>
                <w:rFonts w:hint="eastAsia" w:ascii="宋体" w:hAnsi="宋体" w:cs="宋体"/>
                <w:b w:val="0"/>
                <w:bCs w:val="0"/>
                <w:sz w:val="24"/>
                <w:szCs w:val="24"/>
                <w:vertAlign w:val="baseline"/>
                <w:lang w:eastAsia="zh-CN"/>
              </w:rPr>
              <w:t>联系电话</w:t>
            </w:r>
          </w:p>
        </w:tc>
        <w:tc>
          <w:tcPr>
            <w:tcW w:w="2149" w:type="dxa"/>
            <w:vAlign w:val="center"/>
          </w:tcPr>
          <w:p>
            <w:pPr>
              <w:pStyle w:val="11"/>
              <w:jc w:val="center"/>
              <w:rPr>
                <w:rFonts w:hint="default" w:ascii="Times New Roman" w:hAnsi="Times New Roman" w:eastAsia="宋体" w:cs="Times New Roman"/>
                <w:b w:val="0"/>
                <w:bCs w:val="0"/>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1" w:hRule="atLeast"/>
        </w:trPr>
        <w:tc>
          <w:tcPr>
            <w:tcW w:w="8475" w:type="dxa"/>
            <w:gridSpan w:val="4"/>
          </w:tcPr>
          <w:p>
            <w:pPr>
              <w:pStyle w:val="11"/>
              <w:ind w:left="0" w:leftChars="0" w:firstLine="0" w:firstLineChars="0"/>
              <w:rPr>
                <w:rFonts w:hint="eastAsia" w:cs="Times New Roman"/>
                <w:b w:val="0"/>
                <w:bCs w:val="0"/>
                <w:sz w:val="24"/>
                <w:szCs w:val="24"/>
                <w:vertAlign w:val="baseline"/>
                <w:lang w:eastAsia="zh-CN"/>
              </w:rPr>
            </w:pPr>
            <w:r>
              <w:rPr>
                <w:rFonts w:hint="eastAsia" w:cs="Times New Roman"/>
                <w:b w:val="0"/>
                <w:bCs w:val="0"/>
                <w:sz w:val="24"/>
                <w:szCs w:val="24"/>
                <w:vertAlign w:val="baseline"/>
                <w:lang w:eastAsia="zh-CN"/>
              </w:rPr>
              <w:t>转让理由：</w:t>
            </w:r>
          </w:p>
          <w:p>
            <w:pPr>
              <w:pStyle w:val="11"/>
              <w:rPr>
                <w:rFonts w:hint="default"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rPr>
                <w:rFonts w:hint="default" w:ascii="Times New Roman" w:hAnsi="Times New Roman" w:eastAsia="宋体" w:cs="Times New Roman"/>
                <w:b w:val="0"/>
                <w:bCs w:val="0"/>
                <w:sz w:val="21"/>
                <w:szCs w:val="24"/>
                <w:vertAlign w:val="baseline"/>
                <w:lang w:eastAsia="zh-CN"/>
              </w:rPr>
            </w:pPr>
          </w:p>
          <w:p>
            <w:pPr>
              <w:pStyle w:val="11"/>
              <w:wordWrap w:val="0"/>
              <w:ind w:left="0" w:leftChars="0" w:firstLine="0" w:firstLineChars="0"/>
              <w:jc w:val="right"/>
              <w:rPr>
                <w:rFonts w:hint="default" w:cs="Times New Roman"/>
                <w:b w:val="0"/>
                <w:bCs w:val="0"/>
                <w:sz w:val="21"/>
                <w:szCs w:val="24"/>
                <w:vertAlign w:val="baseline"/>
                <w:lang w:val="en-US" w:eastAsia="zh-CN"/>
              </w:rPr>
            </w:pPr>
            <w:r>
              <w:rPr>
                <w:rFonts w:hint="eastAsia" w:cs="Times New Roman"/>
                <w:b w:val="0"/>
                <w:bCs w:val="0"/>
                <w:sz w:val="21"/>
                <w:szCs w:val="24"/>
                <w:vertAlign w:val="baseline"/>
                <w:lang w:val="en-US" w:eastAsia="zh-CN"/>
              </w:rPr>
              <w:t xml:space="preserve">报备单位名称（加盖公章）：                 </w:t>
            </w:r>
          </w:p>
          <w:p>
            <w:pPr>
              <w:pStyle w:val="11"/>
              <w:wordWrap w:val="0"/>
              <w:ind w:left="0" w:leftChars="0" w:firstLine="0" w:firstLineChars="0"/>
              <w:jc w:val="right"/>
              <w:rPr>
                <w:rFonts w:hint="default" w:cs="Times New Roman"/>
                <w:b w:val="0"/>
                <w:bCs w:val="0"/>
                <w:sz w:val="21"/>
                <w:szCs w:val="24"/>
                <w:vertAlign w:val="baseline"/>
                <w:lang w:val="en-US" w:eastAsia="zh-CN"/>
              </w:rPr>
            </w:pPr>
            <w:r>
              <w:rPr>
                <w:rFonts w:hint="eastAsia" w:cs="Times New Roman"/>
                <w:b w:val="0"/>
                <w:bCs w:val="0"/>
                <w:sz w:val="21"/>
                <w:szCs w:val="24"/>
                <w:vertAlign w:val="baseline"/>
                <w:lang w:val="en-US" w:eastAsia="zh-CN"/>
              </w:rPr>
              <w:t xml:space="preserve">年   月   日                  </w:t>
            </w:r>
          </w:p>
        </w:tc>
      </w:tr>
    </w:tbl>
    <w:p>
      <w:pPr>
        <w:spacing w:line="576" w:lineRule="exact"/>
        <w:ind w:firstLine="0" w:firstLineChars="0"/>
        <w:rPr>
          <w:rFonts w:hint="eastAsia" w:ascii="黑体" w:hAnsi="黑体" w:eastAsia="黑体"/>
          <w:color w:val="000000" w:themeColor="text1"/>
          <w:sz w:val="32"/>
          <w:szCs w:val="32"/>
          <w14:textFill>
            <w14:solidFill>
              <w14:schemeClr w14:val="tx1"/>
            </w14:solidFill>
          </w14:textFill>
        </w:rPr>
      </w:pPr>
    </w:p>
    <w:p>
      <w:pPr>
        <w:spacing w:line="576" w:lineRule="exact"/>
        <w:ind w:firstLine="0" w:firstLineChars="0"/>
        <w:rPr>
          <w:rFonts w:hint="eastAsia" w:ascii="黑体" w:hAnsi="黑体" w:eastAsia="黑体"/>
          <w:color w:val="000000" w:themeColor="text1"/>
          <w:sz w:val="32"/>
          <w:szCs w:val="32"/>
          <w14:textFill>
            <w14:solidFill>
              <w14:schemeClr w14:val="tx1"/>
            </w14:solidFill>
          </w14:textFill>
        </w:rPr>
      </w:pPr>
    </w:p>
    <w:p>
      <w:pPr>
        <w:spacing w:line="576" w:lineRule="exact"/>
        <w:ind w:firstLine="0" w:firstLineChars="0"/>
        <w:rPr>
          <w:rFonts w:hint="eastAsia" w:ascii="黑体" w:hAnsi="黑体" w:eastAsia="黑体"/>
          <w:color w:val="000000" w:themeColor="text1"/>
          <w:sz w:val="32"/>
          <w:szCs w:val="32"/>
          <w14:textFill>
            <w14:solidFill>
              <w14:schemeClr w14:val="tx1"/>
            </w14:solidFill>
          </w14:textFill>
        </w:rPr>
        <w:sectPr>
          <w:pgSz w:w="11906" w:h="16838"/>
          <w:pgMar w:top="1474" w:right="1984" w:bottom="1587" w:left="2098" w:header="851" w:footer="992" w:gutter="0"/>
          <w:pgNumType w:fmt="decimal"/>
          <w:cols w:space="425" w:num="1"/>
          <w:docGrid w:type="lines" w:linePitch="312" w:charSpace="0"/>
        </w:sectPr>
      </w:pPr>
    </w:p>
    <w:p>
      <w:pPr>
        <w:spacing w:line="560" w:lineRule="exact"/>
        <w:ind w:firstLine="0" w:firstLineChars="0"/>
        <w:rPr>
          <w:rFonts w:hint="eastAsia"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附件</w:t>
      </w:r>
      <w:r>
        <w:rPr>
          <w:rFonts w:hint="eastAsia" w:ascii="黑体" w:hAnsi="黑体" w:eastAsia="黑体"/>
          <w:color w:val="000000" w:themeColor="text1"/>
          <w:sz w:val="32"/>
          <w:szCs w:val="32"/>
          <w:lang w:val="en-US" w:eastAsia="zh-CN"/>
          <w14:textFill>
            <w14:solidFill>
              <w14:schemeClr w14:val="tx1"/>
            </w14:solidFill>
          </w14:textFill>
        </w:rPr>
        <w:t>4</w:t>
      </w:r>
    </w:p>
    <w:p>
      <w:pPr>
        <w:pStyle w:val="17"/>
        <w:numPr>
          <w:ilvl w:val="0"/>
          <w:numId w:val="0"/>
        </w:numPr>
        <w:spacing w:before="156" w:after="156"/>
        <w:rPr>
          <w:rFonts w:hint="eastAsia"/>
          <w:sz w:val="24"/>
          <w:szCs w:val="22"/>
        </w:rPr>
      </w:pPr>
      <w:r>
        <w:rPr>
          <w:rFonts w:hint="eastAsia"/>
          <w:sz w:val="24"/>
          <w:szCs w:val="22"/>
        </w:rPr>
        <w:t>发明/实用新型形式问题自查表</w:t>
      </w:r>
    </w:p>
    <w:p>
      <w:pPr>
        <w:rPr>
          <w:rFonts w:hint="default" w:eastAsia="宋体"/>
          <w:sz w:val="18"/>
          <w:szCs w:val="18"/>
          <w:lang w:val="en-US" w:eastAsia="zh-CN"/>
        </w:rPr>
      </w:pPr>
      <w:r>
        <w:rPr>
          <w:rFonts w:hint="eastAsia"/>
          <w:sz w:val="18"/>
          <w:szCs w:val="18"/>
          <w:lang w:eastAsia="zh-CN"/>
        </w:rPr>
        <w:t>案件名称：</w:t>
      </w:r>
      <w:r>
        <w:rPr>
          <w:rFonts w:hint="eastAsia"/>
          <w:sz w:val="18"/>
          <w:szCs w:val="18"/>
          <w:lang w:val="en-US" w:eastAsia="zh-CN"/>
        </w:rPr>
        <w:t xml:space="preserve">                                                                                                      填表单位（盖章）：</w:t>
      </w:r>
    </w:p>
    <w:tbl>
      <w:tblPr>
        <w:tblStyle w:val="12"/>
        <w:tblW w:w="13792" w:type="dxa"/>
        <w:jc w:val="center"/>
        <w:tblLayout w:type="fixed"/>
        <w:tblCellMar>
          <w:top w:w="0" w:type="dxa"/>
          <w:left w:w="0" w:type="dxa"/>
          <w:bottom w:w="0" w:type="dxa"/>
          <w:right w:w="0" w:type="dxa"/>
        </w:tblCellMar>
      </w:tblPr>
      <w:tblGrid>
        <w:gridCol w:w="2500"/>
        <w:gridCol w:w="9688"/>
        <w:gridCol w:w="1604"/>
      </w:tblGrid>
      <w:tr>
        <w:tblPrEx>
          <w:tblCellMar>
            <w:top w:w="0" w:type="dxa"/>
            <w:left w:w="0" w:type="dxa"/>
            <w:bottom w:w="0" w:type="dxa"/>
            <w:right w:w="0" w:type="dxa"/>
          </w:tblCellMar>
        </w:tblPrEx>
        <w:trPr>
          <w:trHeight w:val="346" w:hRule="atLeast"/>
          <w:jc w:val="center"/>
        </w:trPr>
        <w:tc>
          <w:tcPr>
            <w:tcW w:w="2500" w:type="dxa"/>
            <w:tcBorders>
              <w:top w:val="single" w:color="000000" w:sz="12" w:space="0"/>
              <w:left w:val="single" w:color="000000" w:sz="12" w:space="0"/>
              <w:bottom w:val="single" w:color="000000" w:sz="12"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ascii="宋体" w:hAnsi="宋体"/>
                <w:b/>
                <w:bCs/>
                <w:sz w:val="18"/>
                <w:szCs w:val="18"/>
              </w:rPr>
            </w:pPr>
            <w:r>
              <w:rPr>
                <w:rFonts w:hint="eastAsia" w:ascii="宋体" w:hAnsi="宋体"/>
                <w:b/>
                <w:bCs/>
                <w:sz w:val="18"/>
                <w:szCs w:val="18"/>
              </w:rPr>
              <w:t>类型</w:t>
            </w:r>
          </w:p>
        </w:tc>
        <w:tc>
          <w:tcPr>
            <w:tcW w:w="9688" w:type="dxa"/>
            <w:tcBorders>
              <w:top w:val="single" w:color="000000" w:sz="12" w:space="0"/>
              <w:left w:val="single" w:color="000000" w:sz="6" w:space="0"/>
              <w:bottom w:val="single" w:color="000000" w:sz="12"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ascii="宋体" w:hAnsi="宋体"/>
                <w:b/>
                <w:bCs/>
                <w:sz w:val="18"/>
                <w:szCs w:val="18"/>
              </w:rPr>
            </w:pPr>
            <w:r>
              <w:rPr>
                <w:rFonts w:hint="eastAsia" w:ascii="宋体" w:hAnsi="宋体"/>
                <w:b/>
                <w:bCs/>
                <w:sz w:val="18"/>
                <w:szCs w:val="18"/>
                <w:lang w:eastAsia="zh-CN"/>
              </w:rPr>
              <w:t>自查</w:t>
            </w:r>
            <w:r>
              <w:rPr>
                <w:rFonts w:hint="eastAsia" w:ascii="宋体" w:hAnsi="宋体"/>
                <w:b/>
                <w:bCs/>
                <w:sz w:val="18"/>
                <w:szCs w:val="18"/>
              </w:rPr>
              <w:t>项目</w:t>
            </w:r>
          </w:p>
        </w:tc>
        <w:tc>
          <w:tcPr>
            <w:tcW w:w="1604" w:type="dxa"/>
            <w:tcBorders>
              <w:top w:val="single" w:color="000000" w:sz="12" w:space="0"/>
              <w:left w:val="single" w:color="000000" w:sz="6" w:space="0"/>
              <w:bottom w:val="single" w:color="000000" w:sz="12" w:space="0"/>
              <w:right w:val="single" w:color="000000" w:sz="12" w:space="0"/>
            </w:tcBorders>
            <w:shd w:val="clear" w:color="auto" w:fill="auto"/>
            <w:vAlign w:val="center"/>
          </w:tcPr>
          <w:p>
            <w:pPr>
              <w:snapToGrid w:val="0"/>
              <w:spacing w:line="240" w:lineRule="auto"/>
              <w:jc w:val="center"/>
              <w:rPr>
                <w:rFonts w:ascii="宋体" w:hAnsi="宋体"/>
                <w:b/>
                <w:bCs/>
                <w:sz w:val="18"/>
                <w:szCs w:val="18"/>
              </w:rPr>
            </w:pPr>
            <w:r>
              <w:rPr>
                <w:rFonts w:hint="eastAsia" w:ascii="宋体" w:hAnsi="宋体"/>
                <w:b/>
                <w:bCs/>
                <w:sz w:val="18"/>
                <w:szCs w:val="18"/>
              </w:rPr>
              <w:t>自</w:t>
            </w:r>
            <w:r>
              <w:rPr>
                <w:rFonts w:hint="eastAsia" w:ascii="宋体" w:hAnsi="宋体"/>
                <w:b/>
                <w:bCs/>
                <w:sz w:val="18"/>
                <w:szCs w:val="18"/>
                <w:lang w:eastAsia="zh-CN"/>
              </w:rPr>
              <w:t>查</w:t>
            </w:r>
            <w:r>
              <w:rPr>
                <w:rFonts w:hint="eastAsia" w:ascii="宋体" w:hAnsi="宋体"/>
                <w:b/>
                <w:bCs/>
                <w:sz w:val="18"/>
                <w:szCs w:val="18"/>
              </w:rPr>
              <w:t>情况</w:t>
            </w:r>
          </w:p>
        </w:tc>
      </w:tr>
      <w:tr>
        <w:tblPrEx>
          <w:tblCellMar>
            <w:top w:w="0" w:type="dxa"/>
            <w:left w:w="0" w:type="dxa"/>
            <w:bottom w:w="0" w:type="dxa"/>
            <w:right w:w="0" w:type="dxa"/>
          </w:tblCellMar>
        </w:tblPrEx>
        <w:trPr>
          <w:trHeight w:val="346" w:hRule="atLeast"/>
          <w:jc w:val="center"/>
        </w:trPr>
        <w:tc>
          <w:tcPr>
            <w:tcW w:w="2500" w:type="dxa"/>
            <w:tcBorders>
              <w:top w:val="single" w:color="000000" w:sz="12"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b/>
                <w:bCs/>
                <w:sz w:val="18"/>
                <w:szCs w:val="18"/>
                <w:lang w:eastAsia="zh-CN"/>
              </w:rPr>
            </w:pPr>
            <w:r>
              <w:rPr>
                <w:rFonts w:hint="eastAsia" w:ascii="宋体" w:hAnsi="宋体" w:eastAsia="宋体" w:cs="宋体"/>
                <w:sz w:val="18"/>
                <w:szCs w:val="18"/>
                <w:lang w:eastAsia="zh-CN"/>
              </w:rPr>
              <w:t>整体要求</w:t>
            </w:r>
          </w:p>
        </w:tc>
        <w:tc>
          <w:tcPr>
            <w:tcW w:w="9688" w:type="dxa"/>
            <w:tcBorders>
              <w:top w:val="single" w:color="000000" w:sz="12"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1.申请文件CPC案卷包中五书齐全且为xml格式，包含第一发明人身份证扫描件。</w:t>
            </w:r>
          </w:p>
        </w:tc>
        <w:tc>
          <w:tcPr>
            <w:tcW w:w="1604" w:type="dxa"/>
            <w:tcBorders>
              <w:top w:val="single" w:color="000000" w:sz="12" w:space="0"/>
              <w:left w:val="single" w:color="000000" w:sz="6" w:space="0"/>
              <w:bottom w:val="single" w:color="000000" w:sz="6" w:space="0"/>
              <w:right w:val="single" w:color="000000" w:sz="12" w:space="0"/>
            </w:tcBorders>
            <w:shd w:val="clear" w:color="auto" w:fill="auto"/>
            <w:vAlign w:val="center"/>
          </w:tcPr>
          <w:p>
            <w:pPr>
              <w:snapToGrid w:val="0"/>
              <w:spacing w:line="240" w:lineRule="auto"/>
              <w:jc w:val="center"/>
              <w:rPr>
                <w:rFonts w:hint="eastAsia" w:ascii="宋体" w:hAnsi="宋体" w:eastAsia="宋体" w:cs="宋体"/>
                <w:b/>
                <w:bCs/>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发明专利</w:t>
            </w:r>
            <w:r>
              <w:rPr>
                <w:rFonts w:hint="eastAsia" w:ascii="宋体" w:hAnsi="宋体" w:eastAsia="宋体" w:cs="宋体"/>
                <w:sz w:val="18"/>
                <w:szCs w:val="18"/>
                <w:lang w:val="en-US" w:eastAsia="zh-CN"/>
              </w:rPr>
              <w:t>/</w:t>
            </w:r>
            <w:r>
              <w:rPr>
                <w:rFonts w:hint="eastAsia" w:ascii="宋体" w:hAnsi="宋体" w:eastAsia="宋体" w:cs="宋体"/>
                <w:sz w:val="18"/>
                <w:szCs w:val="18"/>
              </w:rPr>
              <w:t>实用新型专利请求书</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1.发明人姓名、国籍、身份证号码正确，发明人是外国人的，中文译名正确；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keepNext w:val="0"/>
              <w:keepLines w:val="0"/>
              <w:widowControl/>
              <w:suppressLineNumbers w:val="0"/>
              <w:jc w:val="left"/>
              <w:rPr>
                <w:rFonts w:hint="eastAsia" w:ascii="宋体" w:hAnsi="宋体" w:eastAsia="宋体" w:cs="宋体"/>
                <w:sz w:val="18"/>
                <w:szCs w:val="18"/>
              </w:rPr>
            </w:pPr>
            <w:r>
              <w:rPr>
                <w:rFonts w:hint="eastAsia" w:ascii="宋体" w:hAnsi="宋体" w:eastAsia="宋体" w:cs="宋体"/>
                <w:sz w:val="18"/>
                <w:szCs w:val="18"/>
              </w:rPr>
              <w:t>2.请求书中申请人的社会统一信用代码</w:t>
            </w:r>
            <w:r>
              <w:rPr>
                <w:rFonts w:hint="eastAsia" w:ascii="宋体" w:hAnsi="宋体" w:eastAsia="宋体" w:cs="宋体"/>
                <w:sz w:val="18"/>
                <w:szCs w:val="18"/>
                <w:lang w:val="en-US" w:eastAsia="zh-CN"/>
              </w:rPr>
              <w:t>、国籍或注册国家（地区）、地址、邮编、类型正确；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3．请求书中发明</w:t>
            </w:r>
            <w:r>
              <w:rPr>
                <w:rFonts w:hint="eastAsia" w:ascii="宋体" w:hAnsi="宋体" w:eastAsia="宋体" w:cs="宋体"/>
                <w:sz w:val="18"/>
                <w:szCs w:val="18"/>
                <w:lang w:val="en-US" w:eastAsia="zh-CN"/>
              </w:rPr>
              <w:t>/实用新型</w:t>
            </w:r>
            <w:r>
              <w:rPr>
                <w:rFonts w:hint="eastAsia" w:ascii="宋体" w:hAnsi="宋体" w:eastAsia="宋体" w:cs="宋体"/>
                <w:sz w:val="18"/>
                <w:szCs w:val="18"/>
              </w:rPr>
              <w:t>名称与说明书中的发明名称一致；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4．勾选</w:t>
            </w:r>
            <w:r>
              <w:rPr>
                <w:rFonts w:hint="eastAsia" w:ascii="宋体" w:hAnsi="宋体" w:eastAsia="宋体" w:cs="宋体"/>
                <w:sz w:val="18"/>
                <w:szCs w:val="18"/>
                <w:lang w:eastAsia="zh-CN"/>
              </w:rPr>
              <w:t>“</w:t>
            </w:r>
            <w:r>
              <w:rPr>
                <w:rFonts w:hint="eastAsia" w:ascii="宋体" w:hAnsi="宋体" w:eastAsia="宋体" w:cs="宋体"/>
                <w:sz w:val="18"/>
                <w:szCs w:val="18"/>
              </w:rPr>
              <w:t>请求早日公布该专利申请</w:t>
            </w:r>
            <w:r>
              <w:rPr>
                <w:rFonts w:hint="eastAsia" w:ascii="宋体" w:hAnsi="宋体" w:eastAsia="宋体" w:cs="宋体"/>
                <w:sz w:val="18"/>
                <w:szCs w:val="18"/>
                <w:lang w:eastAsia="zh-CN"/>
              </w:rPr>
              <w:t>”</w:t>
            </w:r>
            <w:r>
              <w:rPr>
                <w:rFonts w:hint="eastAsia" w:ascii="宋体" w:hAnsi="宋体" w:eastAsia="宋体" w:cs="宋体"/>
                <w:sz w:val="18"/>
                <w:szCs w:val="18"/>
              </w:rPr>
              <w:t>（仅限发明专利）；</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lang w:eastAsia="zh-CN"/>
              </w:rPr>
            </w:pPr>
            <w:r>
              <w:rPr>
                <w:rFonts w:hint="eastAsia" w:ascii="宋体" w:hAnsi="宋体" w:eastAsia="宋体" w:cs="宋体"/>
                <w:sz w:val="18"/>
                <w:szCs w:val="18"/>
              </w:rPr>
              <w:t>5．</w:t>
            </w:r>
            <w:r>
              <w:rPr>
                <w:rFonts w:hint="eastAsia" w:ascii="宋体" w:hAnsi="宋体" w:eastAsia="宋体" w:cs="宋体"/>
                <w:sz w:val="18"/>
                <w:szCs w:val="18"/>
                <w:lang w:eastAsia="zh-CN"/>
              </w:rPr>
              <w:t>不勾选“同日申请”；</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6．请求书、权利要求书、说明书等的页数填写正确，权利要求的项数填写正确；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7.委托代理机构的，勾选“声明已经与申请人签订了专利代理委托书且本表中的信息与委托书中相应信息一致”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8.委托代理机构的，代理机构名称、代理师姓名、资格证号、机构代码和电话号码正确；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9</w:t>
            </w:r>
            <w:r>
              <w:rPr>
                <w:rFonts w:hint="eastAsia" w:ascii="宋体" w:hAnsi="宋体" w:eastAsia="宋体" w:cs="宋体"/>
                <w:sz w:val="18"/>
                <w:szCs w:val="18"/>
              </w:rPr>
              <w:t>．</w:t>
            </w:r>
            <w:r>
              <w:rPr>
                <w:rFonts w:hint="eastAsia" w:ascii="宋体" w:hAnsi="宋体" w:eastAsia="宋体" w:cs="宋体"/>
                <w:sz w:val="18"/>
                <w:szCs w:val="18"/>
                <w:lang w:val="en-US" w:eastAsia="zh-CN"/>
              </w:rPr>
              <w:t>委托代理机构的，提供专利代理委托书，或者有总委托书的，总委托编号正确；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10.未委托代理机构的，联系人应当为本单位员工，且姓名、地址、联系方式正确；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keepNext w:val="0"/>
              <w:keepLines w:val="0"/>
              <w:widowControl/>
              <w:suppressLineNumbers w:val="0"/>
              <w:jc w:val="center"/>
              <w:rPr>
                <w:rFonts w:hint="eastAsia" w:ascii="宋体" w:hAnsi="宋体" w:eastAsia="宋体" w:cs="宋体"/>
                <w:sz w:val="18"/>
                <w:szCs w:val="18"/>
              </w:rPr>
            </w:pPr>
            <w:r>
              <w:rPr>
                <w:rFonts w:hint="eastAsia" w:ascii="宋体" w:hAnsi="宋体" w:eastAsia="宋体" w:cs="宋体"/>
                <w:color w:val="000000"/>
                <w:kern w:val="0"/>
                <w:sz w:val="18"/>
                <w:szCs w:val="18"/>
                <w:lang w:val="en-US" w:eastAsia="zh-CN" w:bidi="ar"/>
              </w:rPr>
              <w:t>说明书有附图的，指定一幅最能说明该发明/实用新型技术方案的附图作为摘要附图，没有附图的，不出现摘要附图；</w:t>
            </w:r>
          </w:p>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11.说明书有附图的，指定一幅最能说明该发明/实用新型技术方案的附图作为摘要附图，没有附图的，不出现摘要附图；</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12</w:t>
            </w:r>
            <w:r>
              <w:rPr>
                <w:rFonts w:hint="eastAsia" w:ascii="宋体" w:hAnsi="宋体" w:eastAsia="宋体" w:cs="宋体"/>
                <w:sz w:val="18"/>
                <w:szCs w:val="18"/>
              </w:rPr>
              <w:t>．全体申请主体或专利代理师签字或盖章正确有效</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lang w:eastAsia="zh-CN"/>
              </w:rPr>
            </w:pPr>
            <w:r>
              <w:rPr>
                <w:rFonts w:hint="eastAsia" w:ascii="宋体" w:hAnsi="宋体" w:eastAsia="宋体" w:cs="宋体"/>
                <w:sz w:val="18"/>
                <w:szCs w:val="18"/>
              </w:rPr>
              <w:t>实质审查请求书</w:t>
            </w:r>
          </w:p>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（仅限发明）</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实质审查</w:t>
            </w:r>
            <w:r>
              <w:rPr>
                <w:rFonts w:hint="eastAsia" w:ascii="宋体" w:hAnsi="宋体" w:eastAsia="宋体" w:cs="宋体"/>
                <w:sz w:val="18"/>
                <w:szCs w:val="18"/>
              </w:rPr>
              <w:t>请求书中发明</w:t>
            </w:r>
            <w:r>
              <w:rPr>
                <w:rFonts w:hint="eastAsia" w:ascii="宋体" w:hAnsi="宋体" w:eastAsia="宋体" w:cs="宋体"/>
                <w:sz w:val="18"/>
                <w:szCs w:val="18"/>
                <w:lang w:val="en-US" w:eastAsia="zh-CN"/>
              </w:rPr>
              <w:t>/实用新型</w:t>
            </w:r>
            <w:r>
              <w:rPr>
                <w:rFonts w:hint="eastAsia" w:ascii="宋体" w:hAnsi="宋体" w:eastAsia="宋体" w:cs="宋体"/>
                <w:sz w:val="18"/>
                <w:szCs w:val="18"/>
              </w:rPr>
              <w:t>名称与发明专利</w:t>
            </w:r>
            <w:r>
              <w:rPr>
                <w:rFonts w:hint="eastAsia" w:ascii="宋体" w:hAnsi="宋体" w:eastAsia="宋体" w:cs="宋体"/>
                <w:sz w:val="18"/>
                <w:szCs w:val="18"/>
                <w:lang w:val="en-US" w:eastAsia="zh-CN"/>
              </w:rPr>
              <w:t>/</w:t>
            </w:r>
            <w:r>
              <w:rPr>
                <w:rFonts w:hint="eastAsia" w:ascii="宋体" w:hAnsi="宋体" w:eastAsia="宋体" w:cs="宋体"/>
                <w:sz w:val="18"/>
                <w:szCs w:val="18"/>
              </w:rPr>
              <w:t>实用新型专利请求书</w:t>
            </w:r>
            <w:r>
              <w:rPr>
                <w:rFonts w:hint="eastAsia" w:ascii="宋体" w:hAnsi="宋体" w:eastAsia="宋体" w:cs="宋体"/>
                <w:sz w:val="18"/>
                <w:szCs w:val="18"/>
                <w:lang w:eastAsia="zh-CN"/>
              </w:rPr>
              <w:t>、</w:t>
            </w:r>
            <w:r>
              <w:rPr>
                <w:rFonts w:hint="eastAsia" w:ascii="宋体" w:hAnsi="宋体" w:eastAsia="宋体" w:cs="宋体"/>
                <w:sz w:val="18"/>
                <w:szCs w:val="18"/>
              </w:rPr>
              <w:t>说明书中的发明</w:t>
            </w:r>
            <w:r>
              <w:rPr>
                <w:rFonts w:hint="eastAsia" w:ascii="宋体" w:hAnsi="宋体" w:eastAsia="宋体" w:cs="宋体"/>
                <w:sz w:val="18"/>
                <w:szCs w:val="18"/>
                <w:lang w:val="en-US" w:eastAsia="zh-CN"/>
              </w:rPr>
              <w:t>/</w:t>
            </w:r>
            <w:r>
              <w:rPr>
                <w:rFonts w:hint="eastAsia" w:ascii="宋体" w:hAnsi="宋体" w:eastAsia="宋体" w:cs="宋体"/>
                <w:sz w:val="18"/>
                <w:szCs w:val="18"/>
              </w:rPr>
              <w:t>实用新型名称一致；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2.申请人名称正确；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3</w:t>
            </w:r>
            <w:r>
              <w:rPr>
                <w:rFonts w:hint="eastAsia" w:ascii="宋体" w:hAnsi="宋体" w:eastAsia="宋体" w:cs="宋体"/>
                <w:sz w:val="18"/>
                <w:szCs w:val="18"/>
              </w:rPr>
              <w:t>．</w:t>
            </w:r>
            <w:r>
              <w:rPr>
                <w:rFonts w:hint="eastAsia" w:ascii="宋体" w:hAnsi="宋体" w:eastAsia="宋体" w:cs="宋体"/>
                <w:sz w:val="18"/>
                <w:szCs w:val="18"/>
                <w:lang w:val="en-US" w:eastAsia="zh-CN"/>
              </w:rPr>
              <w:t>勾选“申请人声明，放弃专利法实施细则第57条规定的主动修改的权利”；</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4.不勾选请求延迟审查期限；</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keepNext w:val="0"/>
              <w:keepLines w:val="0"/>
              <w:widowControl/>
              <w:suppressLineNumbers w:val="0"/>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5.代表人或专利代理机构签章正确。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权利要求书</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1．用阿拉伯数字顺序编号；</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rPr>
                <w:rFonts w:hint="eastAsia" w:ascii="宋体" w:hAnsi="宋体" w:eastAsia="宋体" w:cs="宋体"/>
                <w:sz w:val="18"/>
                <w:szCs w:val="18"/>
              </w:rPr>
            </w:pPr>
            <w:r>
              <w:rPr>
                <w:rFonts w:hint="eastAsia" w:ascii="宋体" w:hAnsi="宋体" w:eastAsia="宋体" w:cs="宋体"/>
                <w:sz w:val="18"/>
                <w:szCs w:val="18"/>
              </w:rPr>
              <w:t>主题名称清楚正确；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rPr>
                <w:rFonts w:hint="eastAsia" w:ascii="宋体" w:hAnsi="宋体" w:eastAsia="宋体" w:cs="宋体"/>
                <w:sz w:val="18"/>
                <w:szCs w:val="18"/>
              </w:rPr>
            </w:pPr>
            <w:r>
              <w:rPr>
                <w:rFonts w:hint="eastAsia" w:ascii="宋体" w:hAnsi="宋体" w:eastAsia="宋体" w:cs="宋体"/>
                <w:sz w:val="18"/>
                <w:szCs w:val="18"/>
                <w:lang w:eastAsia="zh-CN"/>
              </w:rPr>
              <w:t>权利要求书以说明书为依据，清楚、简要地限定要求专利保护的范围；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rPr>
                <w:rFonts w:hint="eastAsia" w:ascii="宋体" w:hAnsi="宋体" w:eastAsia="宋体" w:cs="宋体"/>
                <w:sz w:val="18"/>
                <w:szCs w:val="18"/>
              </w:rPr>
            </w:pPr>
            <w:r>
              <w:rPr>
                <w:rFonts w:hint="eastAsia" w:ascii="宋体" w:hAnsi="宋体" w:eastAsia="宋体" w:cs="宋体"/>
                <w:sz w:val="18"/>
                <w:szCs w:val="18"/>
                <w:lang w:eastAsia="zh-CN"/>
              </w:rPr>
              <w:t>不</w:t>
            </w:r>
            <w:r>
              <w:rPr>
                <w:rFonts w:hint="eastAsia" w:ascii="宋体" w:hAnsi="宋体" w:eastAsia="宋体" w:cs="宋体"/>
                <w:sz w:val="18"/>
                <w:szCs w:val="18"/>
              </w:rPr>
              <w:t>存在非择一引用、多引多等引用关系的问题；</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科技术语、附图标记与说明书中的一致；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不存在插图；</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不存在“如说明书...部分所述”、“如图...部分所述”等用语；</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附图标记应当放在相应的技术特征后并置于括号内，且附图标记与技术特征一一对应；</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权利要求标点符号使用正确，如：不存在“，。”连用；</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权利要求应当从整体上反映发明或实用新型的技术方案，记载解决技术问题的必要技术特征；</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含有“其特征在于...”等类似用语，且每个权利要求仅出现一次；</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eastAsia="zh-CN"/>
              </w:rPr>
              <w:t>不</w:t>
            </w:r>
            <w:r>
              <w:rPr>
                <w:rFonts w:hint="eastAsia" w:ascii="宋体" w:hAnsi="宋体" w:eastAsia="宋体" w:cs="宋体"/>
                <w:sz w:val="18"/>
                <w:szCs w:val="18"/>
              </w:rPr>
              <w:t>存在“所述”没有引用基础的问题；</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eastAsia="zh-CN"/>
              </w:rPr>
              <w:t>不</w:t>
            </w:r>
            <w:r>
              <w:rPr>
                <w:rFonts w:hint="eastAsia" w:ascii="宋体" w:hAnsi="宋体" w:eastAsia="宋体" w:cs="宋体"/>
                <w:sz w:val="18"/>
                <w:szCs w:val="18"/>
              </w:rPr>
              <w:t>存在导致权利要求保护范围不清楚的表述；</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rPr>
              <w:t>含有公式的，公式中的相关符号都有明确的释义、XML格式公式清晰</w:t>
            </w:r>
            <w:r>
              <w:rPr>
                <w:rFonts w:hint="eastAsia" w:ascii="宋体" w:hAnsi="宋体" w:eastAsia="宋体" w:cs="宋体"/>
                <w:sz w:val="18"/>
                <w:szCs w:val="18"/>
                <w:lang w:eastAsia="zh-CN"/>
              </w:rPr>
              <w:t>且正确，不出现乱码</w:t>
            </w:r>
            <w:r>
              <w:rPr>
                <w:rFonts w:hint="eastAsia" w:ascii="宋体" w:hAnsi="宋体" w:eastAsia="宋体" w:cs="宋体"/>
                <w:sz w:val="18"/>
                <w:szCs w:val="18"/>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eastAsia="zh-CN"/>
              </w:rPr>
              <w:t>不</w:t>
            </w:r>
            <w:r>
              <w:rPr>
                <w:rFonts w:hint="eastAsia" w:ascii="宋体" w:hAnsi="宋体" w:eastAsia="宋体" w:cs="宋体"/>
                <w:sz w:val="18"/>
                <w:szCs w:val="18"/>
              </w:rPr>
              <w:t>存在错别字、多余字等；</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eastAsia="zh-CN"/>
              </w:rPr>
              <w:t>不</w:t>
            </w:r>
            <w:r>
              <w:rPr>
                <w:rFonts w:hint="eastAsia" w:ascii="宋体" w:hAnsi="宋体" w:eastAsia="宋体" w:cs="宋体"/>
                <w:sz w:val="18"/>
                <w:szCs w:val="18"/>
              </w:rPr>
              <w:t>存在明显单一性的问题；</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5"/>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rPr>
              <w:t>主题</w:t>
            </w:r>
            <w:r>
              <w:rPr>
                <w:rFonts w:hint="eastAsia" w:ascii="宋体" w:hAnsi="宋体" w:eastAsia="宋体" w:cs="宋体"/>
                <w:sz w:val="18"/>
                <w:szCs w:val="18"/>
                <w:lang w:eastAsia="zh-CN"/>
              </w:rPr>
              <w:t>不</w:t>
            </w:r>
            <w:r>
              <w:rPr>
                <w:rFonts w:hint="eastAsia" w:ascii="宋体" w:hAnsi="宋体" w:eastAsia="宋体" w:cs="宋体"/>
                <w:sz w:val="18"/>
                <w:szCs w:val="18"/>
              </w:rPr>
              <w:t>属于不授权的客体</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说明书</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说明书中用语符合相关撰写规定；</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发明/实用新型名称与请求书一致；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发明/实用新型名称应简短、准确地表明专利申请要求保护的主题和类型；不存在多余的符号，如：空格；</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不存在商业性宣传用语、非技术术语、不宜公布的内容、与技术内容无关的词句；</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说明书应当对发明或者实用新型做出清楚、完整的说明，以所属领域技术人员能够实现为准；</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包括技术领域、背景技术、发明或新型内容、附图说明（如有附图）、具体实施方式；</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标题前没有段号、空行或空格；</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表示同一组成部分的，附图标记一致；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附图说明与附图一致；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不存在内容缺失、段落以句号结尾；</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不存在“如权利要求...所述”“其特征在于……”一类用语；</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引用现有技术的，格式正确：如专利用ZL开头，公开号用CN开头等；</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说明书附图中的附图标记在说明书文字部分有相应的记载；</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不存在插图；</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含有公式或化学式的，应清晰且正确</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含有表格的，应清晰、完整、正确，且表格编号正确；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发明专利申请中必要时附图可以有彩图，但说明书中不能含有对颜色的描述；实用新型不得出现彩图；</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没有附图的，说明书中不出现对附图的描述；</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含有英文的，应尽量翻译成中文</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6"/>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专利申请类型正确；如：发明专利申请不出现本实用新型</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说明书摘要</w:t>
            </w:r>
          </w:p>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及附图</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1．摘要的字数符合要求；</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2．摘要附图是说明书附图中的一幅；</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7"/>
              </w:numPr>
              <w:snapToGrid w:val="0"/>
              <w:spacing w:line="240" w:lineRule="auto"/>
              <w:rPr>
                <w:rFonts w:hint="eastAsia" w:ascii="宋体" w:hAnsi="宋体" w:eastAsia="宋体" w:cs="宋体"/>
                <w:sz w:val="18"/>
                <w:szCs w:val="18"/>
              </w:rPr>
            </w:pPr>
            <w:r>
              <w:rPr>
                <w:rFonts w:hint="eastAsia" w:ascii="宋体" w:hAnsi="宋体" w:eastAsia="宋体" w:cs="宋体"/>
                <w:sz w:val="18"/>
                <w:szCs w:val="18"/>
              </w:rPr>
              <w:t>摘要内容准确：如发明专利申请不能含有本实用新型、内容与技术方案对应等。</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lang w:eastAsia="zh-CN"/>
              </w:rPr>
            </w:pPr>
            <w:r>
              <w:rPr>
                <w:rFonts w:hint="eastAsia" w:ascii="宋体" w:hAnsi="宋体" w:eastAsia="宋体" w:cs="宋体"/>
                <w:sz w:val="18"/>
                <w:szCs w:val="18"/>
                <w:lang w:val="en-US" w:eastAsia="zh-CN"/>
              </w:rPr>
              <w:t>4.</w:t>
            </w:r>
            <w:r>
              <w:rPr>
                <w:rFonts w:hint="eastAsia" w:ascii="宋体" w:hAnsi="宋体" w:eastAsia="宋体" w:cs="宋体"/>
                <w:sz w:val="18"/>
                <w:szCs w:val="18"/>
              </w:rPr>
              <w:t xml:space="preserve"> 摘要段尾有句号</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说明书附图</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有多幅附图的，有用阿拉伯数字正确编号；</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附图中</w:t>
            </w:r>
            <w:r>
              <w:rPr>
                <w:rFonts w:hint="eastAsia" w:ascii="宋体" w:hAnsi="宋体" w:eastAsia="宋体" w:cs="宋体"/>
                <w:sz w:val="18"/>
                <w:szCs w:val="18"/>
                <w:lang w:eastAsia="zh-CN"/>
              </w:rPr>
              <w:t>不</w:t>
            </w:r>
            <w:r>
              <w:rPr>
                <w:rFonts w:hint="eastAsia" w:ascii="宋体" w:hAnsi="宋体" w:eastAsia="宋体" w:cs="宋体"/>
                <w:sz w:val="18"/>
                <w:szCs w:val="18"/>
              </w:rPr>
              <w:t>存在说明书文字部分没有的记载；</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附图与说明书附图说明中列明的一致，如：图号一致、文字描述对应</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说明书文字部分的附图标记与附图中附图标记一一对应；</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附图中没有多余的文字、线条或图案；</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同一页面上的附图其绘制方向一致；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附图与图号在同一页；</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含有英文的，应尽量翻译成中文</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8"/>
              </w:numPr>
              <w:snapToGrid w:val="0"/>
              <w:spacing w:line="240" w:lineRule="auto"/>
              <w:ind w:left="0" w:leftChars="0"/>
              <w:rPr>
                <w:rFonts w:hint="eastAsia" w:ascii="宋体" w:hAnsi="宋体" w:eastAsia="宋体" w:cs="宋体"/>
                <w:sz w:val="18"/>
                <w:szCs w:val="18"/>
              </w:rPr>
            </w:pPr>
            <w:r>
              <w:rPr>
                <w:rFonts w:hint="eastAsia" w:ascii="宋体" w:hAnsi="宋体" w:eastAsia="宋体" w:cs="宋体"/>
                <w:sz w:val="18"/>
                <w:szCs w:val="18"/>
              </w:rPr>
              <w:t>附图清晰、符合制图要求</w:t>
            </w:r>
            <w:r>
              <w:rPr>
                <w:rFonts w:hint="eastAsia" w:ascii="宋体" w:hAnsi="宋体" w:eastAsia="宋体" w:cs="宋体"/>
                <w:sz w:val="18"/>
                <w:szCs w:val="18"/>
                <w:lang w:eastAsia="zh-CN"/>
              </w:rPr>
              <w:t>。</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lang w:eastAsia="zh-CN"/>
              </w:rPr>
            </w:pPr>
            <w:r>
              <w:rPr>
                <w:rFonts w:hint="eastAsia" w:ascii="宋体" w:hAnsi="宋体" w:eastAsia="宋体" w:cs="宋体"/>
                <w:sz w:val="18"/>
                <w:szCs w:val="18"/>
                <w:lang w:eastAsia="zh-CN"/>
              </w:rPr>
              <w:t>保藏证明</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9"/>
              </w:numPr>
              <w:snapToGrid w:val="0"/>
              <w:spacing w:line="240" w:lineRule="auto"/>
              <w:rPr>
                <w:rFonts w:hint="eastAsia" w:ascii="宋体" w:hAnsi="宋体" w:eastAsia="宋体" w:cs="宋体"/>
                <w:sz w:val="18"/>
                <w:szCs w:val="18"/>
              </w:rPr>
            </w:pPr>
            <w:r>
              <w:rPr>
                <w:rFonts w:hint="eastAsia" w:ascii="宋体" w:hAnsi="宋体" w:eastAsia="宋体" w:cs="宋体"/>
                <w:sz w:val="18"/>
                <w:szCs w:val="18"/>
                <w:lang w:val="en-US" w:eastAsia="zh-CN"/>
              </w:rPr>
              <w:t xml:space="preserve">保藏证明和存活证明真实有效； </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9"/>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请求书及保藏题录中的保藏项完整准确（包括保藏单位、地址、日期、编号等）；</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9"/>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说明书及权利要求书中说明保藏事项（包括保藏单位、地址、日期、编号等）。</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r>
              <w:rPr>
                <w:rFonts w:hint="eastAsia" w:ascii="宋体" w:hAnsi="宋体" w:eastAsia="宋体" w:cs="宋体"/>
                <w:sz w:val="18"/>
                <w:szCs w:val="18"/>
                <w:lang w:eastAsia="zh-CN"/>
              </w:rPr>
              <w:t>核苷酸或氨基酸序列表</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10"/>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核苷酸或氨基酸序列表的名称与保藏证明和存活证明里的分类命名完全一致；</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10"/>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序列表作为说明书的一个单独部分提交，提交了计算机可读形式的副本；</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numPr>
                <w:ilvl w:val="0"/>
                <w:numId w:val="10"/>
              </w:numPr>
              <w:snapToGrid w:val="0"/>
              <w:spacing w:line="240" w:lineRule="auto"/>
              <w:ind w:left="0" w:leftChars="0" w:firstLine="0" w:firstLineChars="0"/>
              <w:rPr>
                <w:rFonts w:hint="eastAsia" w:ascii="宋体" w:hAnsi="宋体" w:eastAsia="宋体" w:cs="宋体"/>
                <w:sz w:val="18"/>
                <w:szCs w:val="18"/>
              </w:rPr>
            </w:pPr>
            <w:r>
              <w:rPr>
                <w:rFonts w:hint="eastAsia" w:ascii="宋体" w:hAnsi="宋体" w:eastAsia="宋体" w:cs="宋体"/>
                <w:sz w:val="18"/>
                <w:szCs w:val="18"/>
                <w:lang w:val="en-US" w:eastAsia="zh-CN"/>
              </w:rPr>
              <w:t>序列表内容完整准确。</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restart"/>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center"/>
              <w:rPr>
                <w:rFonts w:hint="eastAsia" w:ascii="宋体" w:hAnsi="宋体" w:eastAsia="宋体" w:cs="宋体"/>
                <w:sz w:val="18"/>
                <w:szCs w:val="18"/>
              </w:rPr>
            </w:pPr>
            <w:r>
              <w:rPr>
                <w:rFonts w:hint="eastAsia" w:ascii="宋体" w:hAnsi="宋体" w:eastAsia="宋体" w:cs="宋体"/>
                <w:sz w:val="18"/>
                <w:szCs w:val="18"/>
              </w:rPr>
              <w:t>其他问题</w:t>
            </w: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不</w:t>
            </w:r>
            <w:r>
              <w:rPr>
                <w:rFonts w:hint="eastAsia" w:ascii="宋体" w:hAnsi="宋体" w:eastAsia="宋体" w:cs="宋体"/>
                <w:sz w:val="18"/>
                <w:szCs w:val="18"/>
              </w:rPr>
              <w:t>为专利国际申请或进入中国国家阶段的PCT国际申请；</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left"/>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2．</w:t>
            </w:r>
            <w:r>
              <w:rPr>
                <w:rFonts w:hint="eastAsia" w:ascii="宋体" w:hAnsi="宋体" w:eastAsia="宋体" w:cs="宋体"/>
                <w:sz w:val="18"/>
                <w:szCs w:val="18"/>
                <w:lang w:eastAsia="zh-CN"/>
              </w:rPr>
              <w:t>不</w:t>
            </w:r>
            <w:r>
              <w:rPr>
                <w:rFonts w:hint="eastAsia" w:ascii="宋体" w:hAnsi="宋体" w:eastAsia="宋体" w:cs="宋体"/>
                <w:sz w:val="18"/>
                <w:szCs w:val="18"/>
              </w:rPr>
              <w:t>存在同一申请主体同日对同样的发明创造同时提交发明专利和实用新型专利；</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left"/>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3．</w:t>
            </w:r>
            <w:r>
              <w:rPr>
                <w:rFonts w:hint="eastAsia" w:ascii="宋体" w:hAnsi="宋体" w:eastAsia="宋体" w:cs="宋体"/>
                <w:sz w:val="18"/>
                <w:szCs w:val="18"/>
                <w:lang w:eastAsia="zh-CN"/>
              </w:rPr>
              <w:t>不</w:t>
            </w:r>
            <w:r>
              <w:rPr>
                <w:rFonts w:hint="eastAsia" w:ascii="宋体" w:hAnsi="宋体" w:eastAsia="宋体" w:cs="宋体"/>
                <w:sz w:val="18"/>
                <w:szCs w:val="18"/>
              </w:rPr>
              <w:t>为分案申请；</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6" w:space="0"/>
              <w:right w:val="single" w:color="000000" w:sz="6" w:space="0"/>
            </w:tcBorders>
            <w:shd w:val="clear" w:color="auto" w:fill="auto"/>
            <w:vAlign w:val="center"/>
          </w:tcPr>
          <w:p>
            <w:pPr>
              <w:widowControl/>
              <w:adjustRightInd/>
              <w:spacing w:line="240" w:lineRule="auto"/>
              <w:jc w:val="left"/>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6"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4．</w:t>
            </w:r>
            <w:r>
              <w:rPr>
                <w:rFonts w:hint="eastAsia" w:ascii="宋体" w:hAnsi="宋体" w:eastAsia="宋体" w:cs="宋体"/>
                <w:sz w:val="18"/>
                <w:szCs w:val="18"/>
                <w:lang w:eastAsia="zh-CN"/>
              </w:rPr>
              <w:t>不</w:t>
            </w:r>
            <w:r>
              <w:rPr>
                <w:rFonts w:hint="eastAsia" w:ascii="宋体" w:hAnsi="宋体" w:eastAsia="宋体" w:cs="宋体"/>
                <w:sz w:val="18"/>
                <w:szCs w:val="18"/>
              </w:rPr>
              <w:t xml:space="preserve">为需要进行保密审查的申请； </w:t>
            </w:r>
          </w:p>
        </w:tc>
        <w:tc>
          <w:tcPr>
            <w:tcW w:w="1604" w:type="dxa"/>
            <w:tcBorders>
              <w:top w:val="single" w:color="000000" w:sz="6" w:space="0"/>
              <w:left w:val="single" w:color="000000" w:sz="6" w:space="0"/>
              <w:bottom w:val="single" w:color="000000" w:sz="6"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r>
        <w:tblPrEx>
          <w:tblCellMar>
            <w:top w:w="0" w:type="dxa"/>
            <w:left w:w="0" w:type="dxa"/>
            <w:bottom w:w="0" w:type="dxa"/>
            <w:right w:w="0" w:type="dxa"/>
          </w:tblCellMar>
        </w:tblPrEx>
        <w:trPr>
          <w:trHeight w:val="346" w:hRule="atLeast"/>
          <w:jc w:val="center"/>
        </w:trPr>
        <w:tc>
          <w:tcPr>
            <w:tcW w:w="2500" w:type="dxa"/>
            <w:vMerge w:val="continue"/>
            <w:tcBorders>
              <w:top w:val="single" w:color="000000" w:sz="6" w:space="0"/>
              <w:left w:val="single" w:color="000000" w:sz="12" w:space="0"/>
              <w:bottom w:val="single" w:color="000000" w:sz="12" w:space="0"/>
              <w:right w:val="single" w:color="000000" w:sz="6" w:space="0"/>
            </w:tcBorders>
            <w:shd w:val="clear" w:color="auto" w:fill="auto"/>
            <w:vAlign w:val="center"/>
          </w:tcPr>
          <w:p>
            <w:pPr>
              <w:widowControl/>
              <w:adjustRightInd/>
              <w:spacing w:line="240" w:lineRule="auto"/>
              <w:jc w:val="left"/>
              <w:rPr>
                <w:rFonts w:hint="eastAsia" w:ascii="宋体" w:hAnsi="宋体" w:eastAsia="宋体" w:cs="宋体"/>
                <w:sz w:val="18"/>
                <w:szCs w:val="18"/>
              </w:rPr>
            </w:pPr>
          </w:p>
        </w:tc>
        <w:tc>
          <w:tcPr>
            <w:tcW w:w="9688" w:type="dxa"/>
            <w:tcBorders>
              <w:top w:val="single" w:color="000000" w:sz="6" w:space="0"/>
              <w:left w:val="single" w:color="000000" w:sz="6" w:space="0"/>
              <w:bottom w:val="single" w:color="000000" w:sz="12" w:space="0"/>
              <w:right w:val="single" w:color="000000" w:sz="6" w:space="0"/>
            </w:tcBorders>
            <w:shd w:val="clear" w:color="auto" w:fill="auto"/>
            <w:tcMar>
              <w:top w:w="15" w:type="dxa"/>
              <w:left w:w="15" w:type="dxa"/>
              <w:bottom w:w="0" w:type="dxa"/>
              <w:right w:w="15" w:type="dxa"/>
            </w:tcMar>
            <w:vAlign w:val="center"/>
          </w:tcPr>
          <w:p>
            <w:pPr>
              <w:snapToGrid w:val="0"/>
              <w:spacing w:line="240" w:lineRule="auto"/>
              <w:rPr>
                <w:rFonts w:hint="eastAsia" w:ascii="宋体" w:hAnsi="宋体" w:eastAsia="宋体" w:cs="宋体"/>
                <w:sz w:val="18"/>
                <w:szCs w:val="18"/>
              </w:rPr>
            </w:pPr>
            <w:r>
              <w:rPr>
                <w:rFonts w:hint="eastAsia" w:ascii="宋体" w:hAnsi="宋体" w:eastAsia="宋体" w:cs="宋体"/>
                <w:sz w:val="18"/>
                <w:szCs w:val="18"/>
              </w:rPr>
              <w:t>5．</w:t>
            </w:r>
            <w:r>
              <w:rPr>
                <w:rFonts w:hint="eastAsia" w:ascii="宋体" w:hAnsi="宋体" w:eastAsia="宋体" w:cs="宋体"/>
                <w:sz w:val="18"/>
                <w:szCs w:val="18"/>
                <w:lang w:eastAsia="zh-CN"/>
              </w:rPr>
              <w:t>不</w:t>
            </w:r>
            <w:r>
              <w:rPr>
                <w:rFonts w:hint="eastAsia" w:ascii="宋体" w:hAnsi="宋体" w:eastAsia="宋体" w:cs="宋体"/>
                <w:sz w:val="18"/>
                <w:szCs w:val="18"/>
              </w:rPr>
              <w:t>存在其他导致预审不合格的问题。</w:t>
            </w:r>
          </w:p>
        </w:tc>
        <w:tc>
          <w:tcPr>
            <w:tcW w:w="1604" w:type="dxa"/>
            <w:tcBorders>
              <w:top w:val="single" w:color="000000" w:sz="6" w:space="0"/>
              <w:left w:val="single" w:color="000000" w:sz="6" w:space="0"/>
              <w:bottom w:val="single" w:color="000000" w:sz="12" w:space="0"/>
              <w:right w:val="single" w:color="000000" w:sz="12" w:space="0"/>
            </w:tcBorders>
            <w:shd w:val="clear" w:color="auto" w:fill="auto"/>
          </w:tcPr>
          <w:p>
            <w:pPr>
              <w:snapToGrid w:val="0"/>
              <w:spacing w:line="240" w:lineRule="auto"/>
              <w:ind w:left="420"/>
              <w:rPr>
                <w:rFonts w:hint="eastAsia" w:ascii="宋体" w:hAnsi="宋体" w:eastAsia="宋体" w:cs="宋体"/>
                <w:sz w:val="18"/>
                <w:szCs w:val="18"/>
              </w:rPr>
            </w:pPr>
          </w:p>
        </w:tc>
      </w:tr>
    </w:tbl>
    <w:p>
      <w:pPr>
        <w:keepNext w:val="0"/>
        <w:keepLines w:val="0"/>
        <w:widowControl/>
        <w:suppressLineNumbers w:val="0"/>
        <w:jc w:val="left"/>
        <w:rPr>
          <w:rFonts w:hint="eastAsia" w:ascii="宋体" w:hAnsi="宋体" w:eastAsia="宋体" w:cs="宋体"/>
        </w:rPr>
      </w:pPr>
      <w:r>
        <w:rPr>
          <w:rFonts w:hint="eastAsia" w:ascii="宋体" w:hAnsi="宋体" w:eastAsia="宋体" w:cs="宋体"/>
          <w:color w:val="000000"/>
          <w:kern w:val="0"/>
          <w:sz w:val="19"/>
          <w:szCs w:val="19"/>
          <w:lang w:val="en-US" w:eastAsia="zh-CN" w:bidi="ar"/>
        </w:rPr>
        <w:t xml:space="preserve">注意事项： </w:t>
      </w:r>
    </w:p>
    <w:p>
      <w:pPr>
        <w:keepNext w:val="0"/>
        <w:keepLines w:val="0"/>
        <w:widowControl/>
        <w:suppressLineNumbers w:val="0"/>
        <w:jc w:val="left"/>
        <w:rPr>
          <w:rFonts w:hint="eastAsia" w:ascii="宋体" w:hAnsi="宋体" w:eastAsia="宋体" w:cs="宋体"/>
        </w:rPr>
      </w:pPr>
      <w:r>
        <w:rPr>
          <w:rFonts w:hint="eastAsia" w:ascii="宋体" w:hAnsi="宋体" w:eastAsia="宋体" w:cs="宋体"/>
          <w:color w:val="000000"/>
          <w:kern w:val="0"/>
          <w:sz w:val="19"/>
          <w:szCs w:val="19"/>
          <w:lang w:val="en-US" w:eastAsia="zh-CN" w:bidi="ar"/>
        </w:rPr>
        <w:t>1.代理机构或申请人应当认真核对各自查项目，确保预审案件符合自查表要求；</w:t>
      </w:r>
    </w:p>
    <w:p>
      <w:pPr>
        <w:keepNext w:val="0"/>
        <w:keepLines w:val="0"/>
        <w:widowControl/>
        <w:suppressLineNumbers w:val="0"/>
        <w:jc w:val="left"/>
      </w:pPr>
      <w:r>
        <w:rPr>
          <w:rFonts w:hint="eastAsia" w:ascii="宋体" w:hAnsi="宋体" w:eastAsia="宋体" w:cs="宋体"/>
          <w:color w:val="000000"/>
          <w:kern w:val="0"/>
          <w:sz w:val="19"/>
          <w:szCs w:val="19"/>
          <w:lang w:val="en-US" w:eastAsia="zh-CN" w:bidi="ar"/>
        </w:rPr>
        <w:t>2.保护中心收到预审案件，视为代理机构或申请人知晓并完成预审案件自查工作。</w:t>
      </w:r>
      <w: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instrText xml:space="preserve">ADDIN CNKISM.UserStyle</w:instrText>
      </w:r>
      <w:r>
        <w:fldChar w:fldCharType="separate"/>
      </w:r>
      <w:r>
        <w:fldChar w:fldCharType="end"/>
      </w:r>
    </w:p>
    <w:p>
      <w:pPr>
        <w:spacing w:line="560" w:lineRule="exact"/>
        <w:ind w:firstLine="0" w:firstLineChars="0"/>
        <w:rPr>
          <w:rFonts w:hint="eastAsia" w:ascii="黑体" w:hAnsi="黑体" w:eastAsia="黑体"/>
          <w:color w:val="000000" w:themeColor="text1"/>
          <w:sz w:val="32"/>
          <w:szCs w:val="32"/>
          <w:lang w:val="en-US" w:eastAsia="zh-CN"/>
          <w14:textFill>
            <w14:solidFill>
              <w14:schemeClr w14:val="tx1"/>
            </w14:solidFill>
          </w14:textFill>
        </w:rPr>
      </w:pPr>
    </w:p>
    <w:p>
      <w:r>
        <w:br w:type="page"/>
      </w:r>
      <w:bookmarkStart w:id="1" w:name="_GoBack"/>
      <w:bookmarkEnd w:id="1"/>
    </w:p>
    <w:p>
      <w:pPr>
        <w:spacing w:line="560" w:lineRule="exact"/>
        <w:ind w:firstLine="0" w:firstLineChars="0"/>
        <w:rPr>
          <w:rFonts w:hint="eastAsia" w:ascii="黑体" w:hAnsi="黑体" w:eastAsia="黑体"/>
          <w:color w:val="000000" w:themeColor="text1"/>
          <w:sz w:val="32"/>
          <w:szCs w:val="32"/>
          <w:lang w:val="en-US" w:eastAsia="zh-CN"/>
          <w14:textFill>
            <w14:solidFill>
              <w14:schemeClr w14:val="tx1"/>
            </w14:solidFill>
          </w14:textFill>
        </w:rPr>
      </w:pPr>
      <w:r>
        <w:rPr>
          <w:rFonts w:hint="eastAsia" w:ascii="黑体" w:hAnsi="黑体" w:eastAsia="黑体"/>
          <w:color w:val="000000" w:themeColor="text1"/>
          <w:sz w:val="32"/>
          <w:szCs w:val="32"/>
          <w:lang w:eastAsia="zh-CN"/>
          <w14:textFill>
            <w14:solidFill>
              <w14:schemeClr w14:val="tx1"/>
            </w14:solidFill>
          </w14:textFill>
        </w:rPr>
        <w:t>附件</w:t>
      </w:r>
      <w:r>
        <w:rPr>
          <w:rFonts w:hint="eastAsia" w:ascii="黑体" w:hAnsi="黑体" w:eastAsia="黑体"/>
          <w:color w:val="000000" w:themeColor="text1"/>
          <w:sz w:val="32"/>
          <w:szCs w:val="32"/>
          <w:lang w:val="en-US" w:eastAsia="zh-CN"/>
          <w14:textFill>
            <w14:solidFill>
              <w14:schemeClr w14:val="tx1"/>
            </w14:solidFill>
          </w14:textFill>
        </w:rPr>
        <w:t>5</w:t>
      </w:r>
    </w:p>
    <w:p>
      <w:pPr>
        <w:pStyle w:val="17"/>
        <w:numPr>
          <w:ilvl w:val="0"/>
          <w:numId w:val="0"/>
        </w:numPr>
        <w:spacing w:before="156" w:after="156"/>
        <w:rPr>
          <w:rFonts w:hint="eastAsia"/>
          <w:sz w:val="22"/>
          <w:szCs w:val="21"/>
        </w:rPr>
      </w:pPr>
      <w:r>
        <w:rPr>
          <w:rFonts w:hint="eastAsia"/>
          <w:sz w:val="24"/>
          <w:szCs w:val="24"/>
        </w:rPr>
        <w:t>外观设计形式问题自查表</w:t>
      </w:r>
    </w:p>
    <w:p>
      <w:pPr>
        <w:rPr>
          <w:rFonts w:hint="default" w:ascii="黑体" w:hAnsi="Times New Roman" w:eastAsia="黑体" w:cs="Times New Roman"/>
          <w:kern w:val="21"/>
          <w:sz w:val="21"/>
          <w:szCs w:val="20"/>
          <w:lang w:val="en-US" w:eastAsia="zh-CN" w:bidi="ar-SA"/>
        </w:rPr>
      </w:pPr>
      <w:r>
        <w:rPr>
          <w:rFonts w:hint="eastAsia" w:ascii="宋体" w:hAnsi="宋体" w:eastAsia="宋体" w:cs="宋体"/>
          <w:kern w:val="21"/>
          <w:sz w:val="18"/>
          <w:szCs w:val="18"/>
          <w:lang w:val="en-US" w:eastAsia="zh-CN" w:bidi="ar-SA"/>
        </w:rPr>
        <w:t xml:space="preserve">案件名称：                                                 </w:t>
      </w:r>
      <w:r>
        <w:rPr>
          <w:rFonts w:hint="eastAsia" w:ascii="宋体" w:hAnsi="宋体" w:cs="宋体"/>
          <w:kern w:val="21"/>
          <w:sz w:val="18"/>
          <w:szCs w:val="18"/>
          <w:lang w:val="en-US" w:eastAsia="zh-CN" w:bidi="ar-SA"/>
        </w:rPr>
        <w:t xml:space="preserve">                                                       </w:t>
      </w:r>
      <w:r>
        <w:rPr>
          <w:rFonts w:hint="eastAsia" w:ascii="宋体" w:hAnsi="宋体" w:eastAsia="宋体" w:cs="宋体"/>
          <w:kern w:val="21"/>
          <w:sz w:val="18"/>
          <w:szCs w:val="18"/>
          <w:lang w:val="en-US" w:eastAsia="zh-CN" w:bidi="ar-SA"/>
        </w:rPr>
        <w:t>填表单位（盖章）：</w:t>
      </w:r>
    </w:p>
    <w:tbl>
      <w:tblPr>
        <w:tblStyle w:val="12"/>
        <w:tblW w:w="13878" w:type="dxa"/>
        <w:jc w:val="center"/>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Layout w:type="fixed"/>
        <w:tblCellMar>
          <w:top w:w="0" w:type="dxa"/>
          <w:left w:w="0" w:type="dxa"/>
          <w:bottom w:w="0" w:type="dxa"/>
          <w:right w:w="0" w:type="dxa"/>
        </w:tblCellMar>
      </w:tblPr>
      <w:tblGrid>
        <w:gridCol w:w="2440"/>
        <w:gridCol w:w="9815"/>
        <w:gridCol w:w="1623"/>
      </w:tblGrid>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38" w:hRule="atLeast"/>
          <w:jc w:val="center"/>
        </w:trPr>
        <w:tc>
          <w:tcPr>
            <w:tcW w:w="2440" w:type="dxa"/>
            <w:tcBorders>
              <w:top w:val="single" w:color="000000" w:sz="12" w:space="0"/>
              <w:bottom w:val="single" w:color="000000" w:sz="12"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类型</w:t>
            </w:r>
          </w:p>
        </w:tc>
        <w:tc>
          <w:tcPr>
            <w:tcW w:w="9815" w:type="dxa"/>
            <w:tcBorders>
              <w:top w:val="single" w:color="000000" w:sz="12" w:space="0"/>
              <w:bottom w:val="single" w:color="000000" w:sz="12" w:space="0"/>
            </w:tcBorders>
            <w:shd w:val="clear" w:color="auto" w:fill="auto"/>
            <w:tcMar>
              <w:top w:w="15" w:type="dxa"/>
              <w:left w:w="15" w:type="dxa"/>
              <w:bottom w:w="0" w:type="dxa"/>
              <w:right w:w="15" w:type="dxa"/>
            </w:tcMar>
            <w:vAlign w:val="center"/>
          </w:tcPr>
          <w:p>
            <w:pPr>
              <w:snapToGrid w:val="0"/>
              <w:spacing w:line="240" w:lineRule="auto"/>
              <w:ind w:firstLine="420"/>
              <w:jc w:val="center"/>
              <w:rPr>
                <w:rFonts w:hint="eastAsia" w:ascii="宋体" w:hAnsi="宋体" w:eastAsia="宋体" w:cs="宋体"/>
                <w:b/>
                <w:bCs/>
                <w:sz w:val="18"/>
                <w:szCs w:val="18"/>
              </w:rPr>
            </w:pPr>
            <w:r>
              <w:rPr>
                <w:rFonts w:hint="eastAsia" w:ascii="宋体" w:hAnsi="宋体" w:eastAsia="宋体" w:cs="宋体"/>
                <w:b/>
                <w:bCs/>
                <w:sz w:val="18"/>
                <w:szCs w:val="18"/>
              </w:rPr>
              <w:t>自</w:t>
            </w:r>
            <w:r>
              <w:rPr>
                <w:rFonts w:hint="eastAsia" w:ascii="宋体" w:hAnsi="宋体" w:eastAsia="宋体" w:cs="宋体"/>
                <w:b/>
                <w:bCs/>
                <w:sz w:val="18"/>
                <w:szCs w:val="18"/>
                <w:lang w:eastAsia="zh-CN"/>
              </w:rPr>
              <w:t>查</w:t>
            </w:r>
            <w:r>
              <w:rPr>
                <w:rFonts w:hint="eastAsia" w:ascii="宋体" w:hAnsi="宋体" w:eastAsia="宋体" w:cs="宋体"/>
                <w:b/>
                <w:bCs/>
                <w:sz w:val="18"/>
                <w:szCs w:val="18"/>
              </w:rPr>
              <w:t>项目</w:t>
            </w:r>
          </w:p>
        </w:tc>
        <w:tc>
          <w:tcPr>
            <w:tcW w:w="1623" w:type="dxa"/>
            <w:tcBorders>
              <w:top w:val="single" w:color="000000" w:sz="12" w:space="0"/>
              <w:bottom w:val="single" w:color="000000" w:sz="12" w:space="0"/>
            </w:tcBorders>
            <w:shd w:val="clear" w:color="auto" w:fill="auto"/>
            <w:vAlign w:val="center"/>
          </w:tcPr>
          <w:p>
            <w:pPr>
              <w:snapToGrid w:val="0"/>
              <w:spacing w:line="240" w:lineRule="auto"/>
              <w:jc w:val="center"/>
              <w:rPr>
                <w:rFonts w:hint="eastAsia" w:ascii="宋体" w:hAnsi="宋体" w:eastAsia="宋体" w:cs="宋体"/>
                <w:b/>
                <w:bCs/>
                <w:sz w:val="18"/>
                <w:szCs w:val="18"/>
              </w:rPr>
            </w:pPr>
            <w:r>
              <w:rPr>
                <w:rFonts w:hint="eastAsia" w:ascii="宋体" w:hAnsi="宋体" w:eastAsia="宋体" w:cs="宋体"/>
                <w:b/>
                <w:bCs/>
                <w:sz w:val="18"/>
                <w:szCs w:val="18"/>
              </w:rPr>
              <w:t>自</w:t>
            </w:r>
            <w:r>
              <w:rPr>
                <w:rFonts w:hint="eastAsia" w:ascii="宋体" w:hAnsi="宋体" w:eastAsia="宋体" w:cs="宋体"/>
                <w:b/>
                <w:bCs/>
                <w:sz w:val="18"/>
                <w:szCs w:val="18"/>
                <w:lang w:eastAsia="zh-CN"/>
              </w:rPr>
              <w:t>查</w:t>
            </w:r>
            <w:r>
              <w:rPr>
                <w:rFonts w:hint="eastAsia" w:ascii="宋体" w:hAnsi="宋体" w:eastAsia="宋体" w:cs="宋体"/>
                <w:b/>
                <w:bCs/>
                <w:sz w:val="18"/>
                <w:szCs w:val="18"/>
              </w:rPr>
              <w:t>情况</w:t>
            </w: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38" w:hRule="atLeast"/>
          <w:jc w:val="center"/>
        </w:trPr>
        <w:tc>
          <w:tcPr>
            <w:tcW w:w="2440" w:type="dxa"/>
            <w:vMerge w:val="restart"/>
            <w:tcBorders>
              <w:top w:val="single" w:color="000000" w:sz="12" w:space="0"/>
            </w:tcBorders>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外观设计专利请求书</w:t>
            </w:r>
          </w:p>
        </w:tc>
        <w:tc>
          <w:tcPr>
            <w:tcW w:w="9815" w:type="dxa"/>
            <w:tcBorders>
              <w:top w:val="single" w:color="000000" w:sz="12" w:space="0"/>
            </w:tcBorders>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eastAsia="zh-CN"/>
              </w:rPr>
              <w:t>申请人统一社会信用代码以及</w:t>
            </w:r>
            <w:r>
              <w:rPr>
                <w:rFonts w:hint="eastAsia" w:ascii="宋体" w:hAnsi="宋体" w:eastAsia="宋体" w:cs="宋体"/>
                <w:sz w:val="18"/>
                <w:szCs w:val="18"/>
              </w:rPr>
              <w:t>设计人姓名与身份证号码</w:t>
            </w:r>
            <w:r>
              <w:rPr>
                <w:rFonts w:hint="eastAsia" w:ascii="宋体" w:hAnsi="宋体" w:eastAsia="宋体" w:cs="宋体"/>
                <w:sz w:val="18"/>
                <w:szCs w:val="18"/>
                <w:lang w:eastAsia="zh-CN"/>
              </w:rPr>
              <w:t>填写正确</w:t>
            </w:r>
            <w:r>
              <w:rPr>
                <w:rFonts w:hint="eastAsia" w:ascii="宋体" w:hAnsi="宋体" w:eastAsia="宋体" w:cs="宋体"/>
                <w:sz w:val="18"/>
                <w:szCs w:val="18"/>
              </w:rPr>
              <w:t>；</w:t>
            </w:r>
          </w:p>
        </w:tc>
        <w:tc>
          <w:tcPr>
            <w:tcW w:w="1623" w:type="dxa"/>
            <w:tcBorders>
              <w:top w:val="single" w:color="000000" w:sz="12" w:space="0"/>
            </w:tcBorders>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eastAsia="zh-CN"/>
              </w:rPr>
            </w:pPr>
            <w:r>
              <w:rPr>
                <w:rFonts w:hint="eastAsia" w:ascii="宋体" w:hAnsi="宋体" w:eastAsia="宋体" w:cs="宋体"/>
                <w:sz w:val="18"/>
                <w:szCs w:val="18"/>
              </w:rPr>
              <w:t>2.</w:t>
            </w:r>
            <w:r>
              <w:rPr>
                <w:rFonts w:hint="eastAsia" w:ascii="宋体" w:hAnsi="宋体" w:eastAsia="宋体" w:cs="宋体"/>
                <w:sz w:val="18"/>
                <w:szCs w:val="18"/>
                <w:lang w:eastAsia="zh-CN"/>
              </w:rPr>
              <w:t>申请人类型正确；</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3.委托代理机构的，代理人姓名、资格证号、机构代码和电话号码填写正确；</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4.委托代理机构的，提供专利代理委托书，或者有总委托书的，总委编号填写正确；</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eastAsia="zh-CN"/>
              </w:rPr>
            </w:pPr>
            <w:r>
              <w:rPr>
                <w:rFonts w:hint="eastAsia" w:ascii="宋体" w:hAnsi="宋体" w:eastAsia="宋体" w:cs="宋体"/>
                <w:sz w:val="18"/>
                <w:szCs w:val="18"/>
                <w:lang w:val="en-US" w:eastAsia="zh-CN"/>
              </w:rPr>
              <w:t>5.</w:t>
            </w:r>
            <w:r>
              <w:rPr>
                <w:rFonts w:hint="eastAsia" w:ascii="宋体" w:hAnsi="宋体" w:eastAsia="宋体" w:cs="宋体"/>
                <w:sz w:val="18"/>
                <w:szCs w:val="18"/>
                <w:lang w:eastAsia="zh-CN"/>
              </w:rPr>
              <w:t>未委托代理机构的，联系人为本单位员工，且联系方式真实有效；</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6</w:t>
            </w:r>
            <w:r>
              <w:rPr>
                <w:rFonts w:hint="eastAsia" w:ascii="宋体" w:hAnsi="宋体" w:eastAsia="宋体" w:cs="宋体"/>
                <w:sz w:val="18"/>
                <w:szCs w:val="18"/>
              </w:rPr>
              <w:t>.申请文件清单页数与实际提交文件页数相符；</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7</w:t>
            </w:r>
            <w:r>
              <w:rPr>
                <w:rFonts w:hint="eastAsia" w:ascii="宋体" w:hAnsi="宋体" w:eastAsia="宋体" w:cs="宋体"/>
                <w:sz w:val="18"/>
                <w:szCs w:val="18"/>
              </w:rPr>
              <w:t>.全体申请主体或代理机构</w:t>
            </w:r>
            <w:r>
              <w:rPr>
                <w:rFonts w:hint="eastAsia" w:ascii="宋体" w:hAnsi="宋体" w:eastAsia="宋体" w:cs="宋体"/>
                <w:sz w:val="18"/>
                <w:szCs w:val="18"/>
                <w:lang w:eastAsia="zh-CN"/>
              </w:rPr>
              <w:t>签字或盖章真实有效</w:t>
            </w:r>
            <w:r>
              <w:rPr>
                <w:rFonts w:hint="eastAsia" w:ascii="宋体" w:hAnsi="宋体" w:eastAsia="宋体" w:cs="宋体"/>
                <w:sz w:val="18"/>
                <w:szCs w:val="18"/>
              </w:rPr>
              <w:t>；</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8</w:t>
            </w:r>
            <w:r>
              <w:rPr>
                <w:rFonts w:hint="eastAsia" w:ascii="宋体" w:hAnsi="宋体" w:eastAsia="宋体" w:cs="宋体"/>
                <w:sz w:val="18"/>
                <w:szCs w:val="18"/>
              </w:rPr>
              <w:t>.相似和成套设计所包含的项数与实际提交文件项数相符；</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9.设计人是外国人的，中文译名正确；</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10.产品名称恰当，不含人名、地名、技术效果、产品规格等，一般不超20字。</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restart"/>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简要说明</w:t>
            </w: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1.产品名称与请求书中产品名称一致；</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2.设计要点恰当；</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3.</w:t>
            </w:r>
            <w:r>
              <w:rPr>
                <w:rFonts w:hint="eastAsia" w:ascii="宋体" w:hAnsi="宋体" w:eastAsia="宋体" w:cs="宋体"/>
                <w:sz w:val="18"/>
                <w:szCs w:val="18"/>
                <w:lang w:eastAsia="zh-CN"/>
              </w:rPr>
              <w:t>省略视图的，注明原因</w:t>
            </w:r>
            <w:r>
              <w:rPr>
                <w:rFonts w:hint="eastAsia" w:ascii="宋体" w:hAnsi="宋体" w:eastAsia="宋体" w:cs="宋体"/>
                <w:sz w:val="18"/>
                <w:szCs w:val="18"/>
              </w:rPr>
              <w:t>；</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4.产品用途</w:t>
            </w:r>
            <w:r>
              <w:rPr>
                <w:rFonts w:hint="eastAsia" w:ascii="宋体" w:hAnsi="宋体" w:eastAsia="宋体" w:cs="宋体"/>
                <w:sz w:val="18"/>
                <w:szCs w:val="18"/>
                <w:lang w:eastAsia="zh-CN"/>
              </w:rPr>
              <w:t>不存在</w:t>
            </w:r>
            <w:r>
              <w:rPr>
                <w:rFonts w:hint="eastAsia" w:ascii="宋体" w:hAnsi="宋体" w:eastAsia="宋体" w:cs="宋体"/>
                <w:sz w:val="18"/>
                <w:szCs w:val="18"/>
              </w:rPr>
              <w:t>宣传用语；</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5.指定的最能表明设计要点的图片或照片恰当；</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38"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6.</w:t>
            </w:r>
            <w:r>
              <w:rPr>
                <w:rFonts w:hint="eastAsia" w:ascii="宋体" w:hAnsi="宋体" w:eastAsia="宋体" w:cs="宋体"/>
                <w:sz w:val="18"/>
                <w:szCs w:val="18"/>
                <w:lang w:eastAsia="zh-CN"/>
              </w:rPr>
              <w:t>不</w:t>
            </w:r>
            <w:r>
              <w:rPr>
                <w:rFonts w:hint="eastAsia" w:ascii="宋体" w:hAnsi="宋体" w:eastAsia="宋体" w:cs="宋体"/>
                <w:sz w:val="18"/>
                <w:szCs w:val="18"/>
              </w:rPr>
              <w:t>存在对产品性能和内部结构的描述；</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eastAsia="zh-CN"/>
              </w:rPr>
            </w:pPr>
            <w:r>
              <w:rPr>
                <w:rFonts w:hint="eastAsia" w:ascii="宋体" w:hAnsi="宋体" w:eastAsia="宋体" w:cs="宋体"/>
                <w:sz w:val="18"/>
                <w:szCs w:val="18"/>
              </w:rPr>
              <w:t>7.设计要点在色彩的，请求保护色彩；</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8.指定基本设计恰当（仅限相似设计）；</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9.</w:t>
            </w:r>
            <w:r>
              <w:rPr>
                <w:rFonts w:hint="eastAsia" w:ascii="宋体" w:hAnsi="宋体" w:eastAsia="宋体" w:cs="宋体"/>
                <w:sz w:val="18"/>
                <w:szCs w:val="18"/>
                <w:lang w:eastAsia="zh-CN"/>
              </w:rPr>
              <w:t>注明</w:t>
            </w:r>
            <w:r>
              <w:rPr>
                <w:rFonts w:hint="eastAsia" w:ascii="宋体" w:hAnsi="宋体" w:eastAsia="宋体" w:cs="宋体"/>
                <w:sz w:val="18"/>
                <w:szCs w:val="18"/>
              </w:rPr>
              <w:t>成套设计的各个套件名称（仅限套件设计）；</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10.</w:t>
            </w:r>
            <w:r>
              <w:rPr>
                <w:rFonts w:hint="eastAsia" w:ascii="宋体" w:hAnsi="宋体" w:eastAsia="宋体" w:cs="宋体"/>
                <w:sz w:val="18"/>
                <w:szCs w:val="18"/>
                <w:lang w:eastAsia="zh-CN"/>
              </w:rPr>
              <w:t>注明</w:t>
            </w:r>
            <w:r>
              <w:rPr>
                <w:rFonts w:hint="eastAsia" w:ascii="宋体" w:hAnsi="宋体" w:eastAsia="宋体" w:cs="宋体"/>
                <w:sz w:val="18"/>
                <w:szCs w:val="18"/>
              </w:rPr>
              <w:t>组件设计的各个组件名称（仅限组件设计）；</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eastAsia="zh-CN"/>
              </w:rPr>
            </w:pPr>
            <w:r>
              <w:rPr>
                <w:rFonts w:hint="eastAsia" w:ascii="宋体" w:hAnsi="宋体" w:eastAsia="宋体" w:cs="宋体"/>
                <w:sz w:val="18"/>
                <w:szCs w:val="18"/>
              </w:rPr>
              <w:t>11.</w:t>
            </w:r>
            <w:r>
              <w:rPr>
                <w:rFonts w:hint="eastAsia" w:ascii="宋体" w:hAnsi="宋体" w:eastAsia="宋体" w:cs="宋体"/>
                <w:sz w:val="18"/>
                <w:szCs w:val="18"/>
                <w:lang w:eastAsia="zh-CN"/>
              </w:rPr>
              <w:t>注明</w:t>
            </w:r>
            <w:r>
              <w:rPr>
                <w:rFonts w:hint="eastAsia" w:ascii="宋体" w:hAnsi="宋体" w:eastAsia="宋体" w:cs="宋体"/>
                <w:sz w:val="18"/>
                <w:szCs w:val="18"/>
              </w:rPr>
              <w:t>单元图案连续方向（仅限平面设计）</w:t>
            </w:r>
            <w:r>
              <w:rPr>
                <w:rFonts w:hint="eastAsia" w:ascii="宋体" w:hAnsi="宋体" w:eastAsia="宋体" w:cs="宋体"/>
                <w:sz w:val="18"/>
                <w:szCs w:val="18"/>
                <w:lang w:eastAsia="zh-CN"/>
              </w:rPr>
              <w:t>。</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restart"/>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图片或者照片</w:t>
            </w: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1.视图比例一致；</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2.投影关系对应</w:t>
            </w:r>
            <w:r>
              <w:rPr>
                <w:rFonts w:hint="eastAsia" w:ascii="宋体" w:hAnsi="宋体" w:eastAsia="宋体" w:cs="宋体"/>
                <w:sz w:val="18"/>
                <w:szCs w:val="18"/>
                <w:lang w:eastAsia="zh-CN"/>
              </w:rPr>
              <w:t>正确</w:t>
            </w:r>
            <w:r>
              <w:rPr>
                <w:rFonts w:hint="eastAsia" w:ascii="宋体" w:hAnsi="宋体" w:eastAsia="宋体" w:cs="宋体"/>
                <w:sz w:val="18"/>
                <w:szCs w:val="18"/>
              </w:rPr>
              <w:t>；</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3.按照主视图，后视图，左视图，右视图，俯视图，仰视图，立体图的顺序排列各视图</w:t>
            </w:r>
            <w:r>
              <w:rPr>
                <w:rFonts w:hint="eastAsia" w:ascii="宋体" w:hAnsi="宋体" w:eastAsia="宋体" w:cs="宋体"/>
                <w:sz w:val="18"/>
                <w:szCs w:val="18"/>
                <w:lang w:eastAsia="zh-CN"/>
              </w:rPr>
              <w:t>且没有缺少应有的视图</w:t>
            </w:r>
            <w:r>
              <w:rPr>
                <w:rFonts w:hint="eastAsia" w:ascii="宋体" w:hAnsi="宋体" w:eastAsia="宋体" w:cs="宋体"/>
                <w:sz w:val="18"/>
                <w:szCs w:val="18"/>
              </w:rPr>
              <w:t>；</w:t>
            </w:r>
          </w:p>
        </w:tc>
        <w:tc>
          <w:tcPr>
            <w:tcW w:w="1623" w:type="dxa"/>
            <w:shd w:val="clear" w:color="auto" w:fill="auto"/>
            <w:vAlign w:val="center"/>
          </w:tcPr>
          <w:p>
            <w:pPr>
              <w:snapToGrid w:val="0"/>
              <w:spacing w:line="240" w:lineRule="auto"/>
              <w:ind w:left="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4.请求保护色彩的，</w:t>
            </w:r>
            <w:r>
              <w:rPr>
                <w:rFonts w:hint="eastAsia" w:ascii="宋体" w:hAnsi="宋体" w:eastAsia="宋体" w:cs="宋体"/>
                <w:sz w:val="18"/>
                <w:szCs w:val="18"/>
                <w:lang w:eastAsia="zh-CN"/>
              </w:rPr>
              <w:t>正确</w:t>
            </w:r>
            <w:r>
              <w:rPr>
                <w:rFonts w:hint="eastAsia" w:ascii="宋体" w:hAnsi="宋体" w:eastAsia="宋体" w:cs="宋体"/>
                <w:sz w:val="18"/>
                <w:szCs w:val="18"/>
              </w:rPr>
              <w:t>提交彩色图片或照片</w:t>
            </w:r>
            <w:r>
              <w:rPr>
                <w:rFonts w:hint="eastAsia" w:ascii="宋体" w:hAnsi="宋体" w:eastAsia="宋体" w:cs="宋体"/>
                <w:sz w:val="18"/>
                <w:szCs w:val="18"/>
                <w:lang w:eastAsia="zh-CN"/>
              </w:rPr>
              <w:t>；</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eastAsia="zh-CN"/>
              </w:rPr>
            </w:pPr>
            <w:r>
              <w:rPr>
                <w:rFonts w:hint="eastAsia" w:ascii="宋体" w:hAnsi="宋体" w:eastAsia="宋体" w:cs="宋体"/>
                <w:sz w:val="18"/>
                <w:szCs w:val="18"/>
              </w:rPr>
              <w:t>5.图片或照片清晰</w:t>
            </w:r>
            <w:r>
              <w:rPr>
                <w:rFonts w:hint="eastAsia" w:ascii="宋体" w:hAnsi="宋体" w:eastAsia="宋体" w:cs="宋体"/>
                <w:sz w:val="18"/>
                <w:szCs w:val="18"/>
                <w:lang w:eastAsia="zh-CN"/>
              </w:rPr>
              <w:t>，未使用阴影线、虚线、尺寸线等，且不存在非必要标记和线条</w:t>
            </w:r>
            <w:r>
              <w:rPr>
                <w:rFonts w:hint="eastAsia" w:ascii="宋体" w:hAnsi="宋体" w:eastAsia="宋体" w:cs="宋体"/>
                <w:sz w:val="18"/>
                <w:szCs w:val="18"/>
              </w:rPr>
              <w:t>；</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6.视图名称标记</w:t>
            </w:r>
            <w:r>
              <w:rPr>
                <w:rFonts w:hint="eastAsia" w:ascii="宋体" w:hAnsi="宋体" w:eastAsia="宋体" w:cs="宋体"/>
                <w:sz w:val="18"/>
                <w:szCs w:val="18"/>
                <w:lang w:eastAsia="zh-CN"/>
              </w:rPr>
              <w:t>正确</w:t>
            </w:r>
            <w:r>
              <w:rPr>
                <w:rFonts w:hint="eastAsia" w:ascii="宋体" w:hAnsi="宋体" w:eastAsia="宋体" w:cs="宋体"/>
                <w:sz w:val="18"/>
                <w:szCs w:val="18"/>
              </w:rPr>
              <w:t>；</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eastAsia="zh-CN"/>
              </w:rPr>
            </w:pPr>
            <w:r>
              <w:rPr>
                <w:rFonts w:hint="eastAsia" w:ascii="宋体" w:hAnsi="宋体" w:eastAsia="宋体" w:cs="宋体"/>
                <w:sz w:val="18"/>
                <w:szCs w:val="18"/>
              </w:rPr>
              <w:t>7.</w:t>
            </w:r>
            <w:r>
              <w:rPr>
                <w:rFonts w:hint="eastAsia" w:ascii="宋体" w:hAnsi="宋体" w:eastAsia="宋体" w:cs="宋体"/>
                <w:sz w:val="18"/>
                <w:szCs w:val="18"/>
                <w:lang w:eastAsia="zh-CN"/>
              </w:rPr>
              <w:t>视图名称与对应图片或者照片处于同一页面上；</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vAlign w:val="center"/>
          </w:tcPr>
          <w:p>
            <w:pPr>
              <w:widowControl/>
              <w:adjustRightInd/>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8.细长物品省略了中间一段时，使用了平行双点划线或自然断裂线断开的画法。</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restart"/>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r>
              <w:rPr>
                <w:rFonts w:hint="eastAsia" w:ascii="宋体" w:hAnsi="宋体" w:eastAsia="宋体" w:cs="宋体"/>
                <w:sz w:val="18"/>
                <w:szCs w:val="18"/>
              </w:rPr>
              <w:t>其他问题</w:t>
            </w: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rPr>
            </w:pPr>
            <w:r>
              <w:rPr>
                <w:rFonts w:hint="eastAsia" w:ascii="宋体" w:hAnsi="宋体" w:eastAsia="宋体" w:cs="宋体"/>
                <w:sz w:val="18"/>
                <w:szCs w:val="18"/>
              </w:rPr>
              <w:t>1.</w:t>
            </w:r>
            <w:r>
              <w:rPr>
                <w:rFonts w:hint="eastAsia" w:ascii="宋体" w:hAnsi="宋体" w:eastAsia="宋体" w:cs="宋体"/>
                <w:sz w:val="18"/>
                <w:szCs w:val="18"/>
                <w:lang w:val="en-US" w:eastAsia="zh-CN"/>
              </w:rPr>
              <w:t>专利代理委托书信息与请求书一致；</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27" w:hRule="atLeast"/>
          <w:jc w:val="center"/>
        </w:trPr>
        <w:tc>
          <w:tcPr>
            <w:tcW w:w="2440" w:type="dxa"/>
            <w:vMerge w:val="continue"/>
            <w:shd w:val="clear" w:color="auto" w:fill="auto"/>
            <w:tcMar>
              <w:top w:w="15" w:type="dxa"/>
              <w:left w:w="15" w:type="dxa"/>
              <w:bottom w:w="0" w:type="dxa"/>
              <w:right w:w="15" w:type="dxa"/>
            </w:tcMar>
            <w:vAlign w:val="center"/>
          </w:tcPr>
          <w:p>
            <w:pPr>
              <w:snapToGrid w:val="0"/>
              <w:spacing w:line="240" w:lineRule="auto"/>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2.CPC案卷包为XML格式；</w:t>
            </w:r>
          </w:p>
        </w:tc>
        <w:tc>
          <w:tcPr>
            <w:tcW w:w="1623" w:type="dxa"/>
            <w:shd w:val="clear" w:color="auto" w:fill="auto"/>
            <w:vAlign w:val="center"/>
          </w:tcPr>
          <w:p>
            <w:pPr>
              <w:snapToGrid w:val="0"/>
              <w:spacing w:line="240" w:lineRule="auto"/>
              <w:jc w:val="center"/>
              <w:rPr>
                <w:rFonts w:hint="eastAsia" w:ascii="宋体" w:hAnsi="宋体" w:eastAsia="宋体" w:cs="宋体"/>
                <w:kern w:val="0"/>
                <w:sz w:val="18"/>
                <w:szCs w:val="18"/>
                <w:lang w:val="en-US" w:eastAsia="zh-CN"/>
              </w:rPr>
            </w:pPr>
          </w:p>
        </w:tc>
      </w:tr>
      <w:tr>
        <w:tblPrEx>
          <w:tblBorders>
            <w:top w:val="single" w:color="000000" w:sz="12" w:space="0"/>
            <w:left w:val="single" w:color="000000" w:sz="12" w:space="0"/>
            <w:bottom w:val="single" w:color="000000" w:sz="12" w:space="0"/>
            <w:right w:val="single" w:color="000000" w:sz="12" w:space="0"/>
            <w:insideH w:val="single" w:color="000000" w:sz="8" w:space="0"/>
            <w:insideV w:val="single" w:color="000000" w:sz="8" w:space="0"/>
          </w:tblBorders>
          <w:tblCellMar>
            <w:top w:w="0" w:type="dxa"/>
            <w:left w:w="0" w:type="dxa"/>
            <w:bottom w:w="0" w:type="dxa"/>
            <w:right w:w="0" w:type="dxa"/>
          </w:tblCellMar>
        </w:tblPrEx>
        <w:trPr>
          <w:trHeight w:val="461" w:hRule="atLeast"/>
          <w:jc w:val="center"/>
        </w:trPr>
        <w:tc>
          <w:tcPr>
            <w:tcW w:w="2440" w:type="dxa"/>
            <w:vMerge w:val="continue"/>
            <w:shd w:val="clear" w:color="auto" w:fill="auto"/>
            <w:tcMar>
              <w:top w:w="15" w:type="dxa"/>
              <w:left w:w="15" w:type="dxa"/>
              <w:bottom w:w="0" w:type="dxa"/>
              <w:right w:w="15" w:type="dxa"/>
            </w:tcMar>
            <w:vAlign w:val="center"/>
          </w:tcPr>
          <w:p>
            <w:pPr>
              <w:snapToGrid w:val="0"/>
              <w:spacing w:line="240" w:lineRule="auto"/>
              <w:ind w:firstLine="420"/>
              <w:jc w:val="center"/>
              <w:rPr>
                <w:rFonts w:hint="eastAsia" w:ascii="宋体" w:hAnsi="宋体" w:eastAsia="宋体" w:cs="宋体"/>
                <w:sz w:val="18"/>
                <w:szCs w:val="18"/>
              </w:rPr>
            </w:pPr>
          </w:p>
        </w:tc>
        <w:tc>
          <w:tcPr>
            <w:tcW w:w="9815" w:type="dxa"/>
            <w:shd w:val="clear" w:color="auto" w:fill="auto"/>
            <w:tcMar>
              <w:top w:w="15" w:type="dxa"/>
              <w:left w:w="15" w:type="dxa"/>
              <w:bottom w:w="0" w:type="dxa"/>
              <w:right w:w="15" w:type="dxa"/>
            </w:tcMar>
            <w:vAlign w:val="center"/>
          </w:tcPr>
          <w:p>
            <w:pPr>
              <w:snapToGrid w:val="0"/>
              <w:spacing w:line="240" w:lineRule="auto"/>
              <w:jc w:val="left"/>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r>
              <w:rPr>
                <w:rFonts w:hint="eastAsia" w:ascii="宋体" w:hAnsi="宋体" w:eastAsia="宋体" w:cs="宋体"/>
                <w:sz w:val="18"/>
                <w:szCs w:val="18"/>
              </w:rPr>
              <w:t>其他导致预审不合格的问题。</w:t>
            </w:r>
          </w:p>
        </w:tc>
        <w:tc>
          <w:tcPr>
            <w:tcW w:w="1623" w:type="dxa"/>
            <w:shd w:val="clear" w:color="auto" w:fill="auto"/>
            <w:vAlign w:val="center"/>
          </w:tcPr>
          <w:p>
            <w:pPr>
              <w:snapToGrid w:val="0"/>
              <w:spacing w:line="240" w:lineRule="auto"/>
              <w:ind w:left="420" w:firstLine="420"/>
              <w:jc w:val="center"/>
              <w:rPr>
                <w:rFonts w:hint="eastAsia" w:ascii="宋体" w:hAnsi="宋体" w:eastAsia="宋体" w:cs="宋体"/>
                <w:kern w:val="0"/>
                <w:sz w:val="18"/>
                <w:szCs w:val="18"/>
              </w:rPr>
            </w:pPr>
          </w:p>
        </w:tc>
      </w:tr>
    </w:tbl>
    <w:p>
      <w:pPr>
        <w:ind w:firstLine="0" w:firstLineChars="0"/>
        <w:rPr>
          <w:rFonts w:hint="eastAsia" w:ascii="宋体" w:hAnsi="宋体" w:cs="宋体"/>
          <w:kern w:val="21"/>
          <w:sz w:val="18"/>
          <w:szCs w:val="18"/>
          <w:lang w:val="en-US" w:eastAsia="zh-CN" w:bidi="ar-SA"/>
        </w:rPr>
      </w:pPr>
      <w:r>
        <w:rPr>
          <w:rFonts w:hint="eastAsia" w:ascii="宋体" w:hAnsi="宋体" w:cs="宋体"/>
          <w:kern w:val="21"/>
          <w:sz w:val="18"/>
          <w:szCs w:val="18"/>
          <w:lang w:val="en-US" w:eastAsia="zh-CN" w:bidi="ar-SA"/>
        </w:rPr>
        <w:t>注意事项：</w:t>
      </w:r>
    </w:p>
    <w:p>
      <w:pPr>
        <w:ind w:firstLine="0" w:firstLineChars="0"/>
        <w:rPr>
          <w:rFonts w:hint="eastAsia" w:ascii="宋体" w:hAnsi="宋体" w:cs="宋体"/>
          <w:kern w:val="21"/>
          <w:sz w:val="18"/>
          <w:szCs w:val="18"/>
          <w:lang w:val="en-US" w:eastAsia="zh-CN" w:bidi="ar-SA"/>
        </w:rPr>
      </w:pPr>
      <w:r>
        <w:rPr>
          <w:rFonts w:hint="eastAsia" w:ascii="宋体" w:hAnsi="宋体" w:cs="宋体"/>
          <w:kern w:val="21"/>
          <w:sz w:val="18"/>
          <w:szCs w:val="18"/>
          <w:lang w:val="en-US" w:eastAsia="zh-CN" w:bidi="ar-SA"/>
        </w:rPr>
        <w:t>1.代理机构或申请人应当认真核对各</w:t>
      </w:r>
      <w:r>
        <w:rPr>
          <w:rFonts w:hint="eastAsia" w:ascii="宋体" w:hAnsi="宋体" w:eastAsia="宋体" w:cs="宋体"/>
          <w:color w:val="000000"/>
          <w:kern w:val="0"/>
          <w:sz w:val="19"/>
          <w:szCs w:val="19"/>
          <w:lang w:val="en-US" w:eastAsia="zh-CN" w:bidi="ar"/>
        </w:rPr>
        <w:t>自查</w:t>
      </w:r>
      <w:r>
        <w:rPr>
          <w:rFonts w:hint="eastAsia" w:ascii="宋体" w:hAnsi="宋体" w:cs="宋体"/>
          <w:kern w:val="21"/>
          <w:sz w:val="18"/>
          <w:szCs w:val="18"/>
          <w:lang w:val="en-US" w:eastAsia="zh-CN" w:bidi="ar-SA"/>
        </w:rPr>
        <w:t>项目，确保预审案件符合</w:t>
      </w:r>
      <w:r>
        <w:rPr>
          <w:rFonts w:hint="eastAsia" w:ascii="宋体" w:hAnsi="宋体" w:eastAsia="宋体" w:cs="宋体"/>
          <w:color w:val="000000"/>
          <w:kern w:val="0"/>
          <w:sz w:val="19"/>
          <w:szCs w:val="19"/>
          <w:lang w:val="en-US" w:eastAsia="zh-CN" w:bidi="ar"/>
        </w:rPr>
        <w:t>自查</w:t>
      </w:r>
      <w:r>
        <w:rPr>
          <w:rFonts w:hint="eastAsia" w:ascii="宋体" w:hAnsi="宋体" w:cs="宋体"/>
          <w:kern w:val="21"/>
          <w:sz w:val="18"/>
          <w:szCs w:val="18"/>
          <w:lang w:val="en-US" w:eastAsia="zh-CN" w:bidi="ar-SA"/>
        </w:rPr>
        <w:t>表要求；</w:t>
      </w:r>
    </w:p>
    <w:p>
      <w:pPr>
        <w:pStyle w:val="11"/>
        <w:spacing w:line="240" w:lineRule="auto"/>
        <w:ind w:left="0" w:leftChars="0" w:firstLine="0" w:firstLineChars="0"/>
        <w:rPr>
          <w:rFonts w:hint="eastAsia" w:ascii="宋体" w:hAnsi="宋体" w:cs="宋体"/>
          <w:kern w:val="21"/>
          <w:sz w:val="18"/>
          <w:szCs w:val="18"/>
          <w:lang w:val="en-US" w:eastAsia="zh-CN" w:bidi="ar-SA"/>
        </w:rPr>
        <w:sectPr>
          <w:pgSz w:w="16838" w:h="11906" w:orient="landscape"/>
          <w:pgMar w:top="2098" w:right="1474" w:bottom="1984" w:left="1587" w:header="851" w:footer="992" w:gutter="0"/>
          <w:pgNumType w:fmt="decimal"/>
          <w:cols w:space="425" w:num="1"/>
          <w:docGrid w:type="lines" w:linePitch="312" w:charSpace="0"/>
        </w:sectPr>
      </w:pPr>
      <w:r>
        <w:rPr>
          <w:rFonts w:hint="eastAsia" w:ascii="宋体" w:hAnsi="宋体" w:cs="宋体"/>
          <w:kern w:val="21"/>
          <w:sz w:val="18"/>
          <w:szCs w:val="18"/>
          <w:lang w:val="en-US" w:eastAsia="zh-CN" w:bidi="ar-SA"/>
        </w:rPr>
        <w:t>2.湘潭市知识产权保护中心收到预审案件，视为代理机构或申请人知晓并已完成预审案件自查工作。</w:t>
      </w: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p>
    <w:p>
      <w:pPr>
        <w:pStyle w:val="4"/>
        <w:wordWrap/>
        <w:ind w:left="0" w:leftChars="0" w:firstLine="0" w:firstLineChars="0"/>
        <w:rPr>
          <w:rFonts w:hint="eastAsia" w:ascii="仿宋_GB2312" w:hAnsi="仿宋_GB2312" w:eastAsia="仿宋_GB2312" w:cs="仿宋_GB2312"/>
          <w:color w:val="auto"/>
          <w:spacing w:val="0"/>
          <w:sz w:val="32"/>
          <w:szCs w:val="32"/>
          <w:lang w:val="en-US" w:eastAsia="zh-CN"/>
        </w:rPr>
      </w:pPr>
      <w:r>
        <w:rPr>
          <w:rFonts w:hint="eastAsia"/>
          <w:color w:val="auto"/>
          <w:spacing w:val="0"/>
        </w:rPr>
        <mc:AlternateContent>
          <mc:Choice Requires="wps">
            <w:drawing>
              <wp:anchor distT="0" distB="0" distL="114300" distR="114300" simplePos="0" relativeHeight="251660288" behindDoc="0" locked="0" layoutInCell="1" allowOverlap="1">
                <wp:simplePos x="0" y="0"/>
                <wp:positionH relativeFrom="column">
                  <wp:posOffset>-45720</wp:posOffset>
                </wp:positionH>
                <wp:positionV relativeFrom="paragraph">
                  <wp:posOffset>325755</wp:posOffset>
                </wp:positionV>
                <wp:extent cx="5670550" cy="1270"/>
                <wp:effectExtent l="0" t="0" r="0" b="0"/>
                <wp:wrapNone/>
                <wp:docPr id="4" name="直接连接符 4"/>
                <wp:cNvGraphicFramePr/>
                <a:graphic xmlns:a="http://schemas.openxmlformats.org/drawingml/2006/main">
                  <a:graphicData uri="http://schemas.microsoft.com/office/word/2010/wordprocessingShape">
                    <wps:wsp>
                      <wps:cNvCnPr/>
                      <wps:spPr>
                        <a:xfrm>
                          <a:off x="0" y="0"/>
                          <a:ext cx="5670550" cy="127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3.6pt;margin-top:25.65pt;height:0.1pt;width:446.5pt;z-index:251660288;mso-width-relative:page;mso-height-relative:page;" filled="f" stroked="t" coordsize="21600,21600" o:gfxdata="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t7B3E2AAAAAgBAAAPAAAAAAAAAAEAIAAAACIAAABkcnMvZG93bnJldi54&#10;bWxQSwECFAAUAAAACACHTuJAW0C0kPoBAAD2AwAADgAAAAAAAAABACAAAAAnAQAAZHJzL2Uyb0Rv&#10;Yy54bWxQSwUGAAAAAAYABgBZAQAAkwUAAAAA&#10;">
                <v:fill on="f" focussize="0,0"/>
                <v:stroke weight="1pt" color="#000000" joinstyle="round"/>
                <v:imagedata o:title=""/>
                <o:lock v:ext="edit" aspectratio="f"/>
              </v:line>
            </w:pict>
          </mc:Fallback>
        </mc:AlternateContent>
      </w:r>
    </w:p>
    <w:p>
      <w:pPr>
        <w:pStyle w:val="4"/>
        <w:keepNext w:val="0"/>
        <w:keepLines w:val="0"/>
        <w:pageBreakBefore w:val="0"/>
        <w:widowControl w:val="0"/>
        <w:kinsoku/>
        <w:wordWrap/>
        <w:overflowPunct/>
        <w:topLinePunct w:val="0"/>
        <w:autoSpaceDE/>
        <w:autoSpaceDN/>
        <w:bidi w:val="0"/>
        <w:adjustRightInd/>
        <w:snapToGrid/>
        <w:ind w:left="0" w:leftChars="0" w:firstLine="140" w:firstLineChars="50"/>
        <w:textAlignment w:val="auto"/>
        <w:rPr>
          <w:rFonts w:hint="default" w:ascii="宋体" w:hAnsi="宋体" w:cs="宋体"/>
          <w:kern w:val="21"/>
          <w:sz w:val="18"/>
          <w:szCs w:val="18"/>
          <w:lang w:val="en-US" w:eastAsia="zh-CN" w:bidi="ar-SA"/>
        </w:rPr>
      </w:pPr>
      <w:r>
        <w:rPr>
          <w:rFonts w:hint="eastAsia" w:ascii="方正仿宋_GBK" w:hAnsi="方正仿宋_GBK" w:eastAsia="方正仿宋_GBK" w:cs="方正仿宋_GBK"/>
          <w:color w:val="auto"/>
          <w:spacing w:val="0"/>
          <w:sz w:val="28"/>
          <w:szCs w:val="28"/>
        </w:rPr>
        <mc:AlternateContent>
          <mc:Choice Requires="wps">
            <w:drawing>
              <wp:anchor distT="0" distB="0" distL="114300" distR="114300" simplePos="0" relativeHeight="251661312" behindDoc="0" locked="0" layoutInCell="1" allowOverlap="1">
                <wp:simplePos x="0" y="0"/>
                <wp:positionH relativeFrom="column">
                  <wp:posOffset>-45720</wp:posOffset>
                </wp:positionH>
                <wp:positionV relativeFrom="paragraph">
                  <wp:posOffset>422910</wp:posOffset>
                </wp:positionV>
                <wp:extent cx="5685790" cy="15240"/>
                <wp:effectExtent l="0" t="6350" r="13970" b="8890"/>
                <wp:wrapNone/>
                <wp:docPr id="5" name="直接连接符 5"/>
                <wp:cNvGraphicFramePr/>
                <a:graphic xmlns:a="http://schemas.openxmlformats.org/drawingml/2006/main">
                  <a:graphicData uri="http://schemas.microsoft.com/office/word/2010/wordprocessingShape">
                    <wps:wsp>
                      <wps:cNvCnPr/>
                      <wps:spPr>
                        <a:xfrm flipV="1">
                          <a:off x="0" y="0"/>
                          <a:ext cx="5685790" cy="1524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3.6pt;margin-top:33.3pt;height:1.2pt;width:447.7pt;z-index:251661312;mso-width-relative:page;mso-height-relative:page;" filled="f" stroked="t" coordsize="21600,21600" o:gfxdata="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3yXVbXAAAACAEAAA8AAAAAAAAAAQAgAAAAIgAAAGRy&#10;cy9kb3ducmV2LnhtbFBLAQIUABQAAAAIAIdO4kBvGDoUBgIAAAEEAAAOAAAAAAAAAAEAIAAAACYB&#10;AABkcnMvZTJvRG9jLnhtbFBLBQYAAAAABgAGAFkBAACeBQAAAAA=&#10;">
                <v:fill on="f" focussize="0,0"/>
                <v:stroke weight="1pt" color="#000000" joinstyle="round"/>
                <v:imagedata o:title=""/>
                <o:lock v:ext="edit" aspectratio="f"/>
              </v:line>
            </w:pict>
          </mc:Fallback>
        </mc:AlternateContent>
      </w:r>
      <w:r>
        <w:rPr>
          <w:rFonts w:hint="eastAsia" w:ascii="方正仿宋_GBK" w:hAnsi="方正仿宋_GBK" w:eastAsia="方正仿宋_GBK" w:cs="方正仿宋_GBK"/>
          <w:color w:val="auto"/>
          <w:spacing w:val="0"/>
          <w:sz w:val="28"/>
          <w:szCs w:val="28"/>
        </w:rPr>
        <w:t>湘潭市</w:t>
      </w:r>
      <w:r>
        <w:rPr>
          <w:rFonts w:hint="eastAsia" w:ascii="方正仿宋_GBK" w:hAnsi="方正仿宋_GBK" w:eastAsia="方正仿宋_GBK" w:cs="方正仿宋_GBK"/>
          <w:color w:val="auto"/>
          <w:spacing w:val="0"/>
          <w:sz w:val="28"/>
          <w:szCs w:val="28"/>
          <w:lang w:eastAsia="zh-CN"/>
        </w:rPr>
        <w:t>知识产权保护中心审查确权部</w:t>
      </w:r>
      <w:r>
        <w:rPr>
          <w:rFonts w:hint="eastAsia" w:ascii="方正仿宋_GBK" w:hAnsi="方正仿宋_GBK" w:eastAsia="方正仿宋_GBK" w:cs="方正仿宋_GBK"/>
          <w:color w:val="auto"/>
          <w:spacing w:val="0"/>
          <w:sz w:val="28"/>
          <w:szCs w:val="28"/>
          <w:lang w:val="en-US" w:eastAsia="zh-CN"/>
        </w:rPr>
        <w:t xml:space="preserve">          </w:t>
      </w:r>
      <w:r>
        <w:rPr>
          <w:rFonts w:hint="eastAsia" w:ascii="方正仿宋_GBK" w:hAnsi="方正仿宋_GBK" w:eastAsia="方正仿宋_GBK" w:cs="方正仿宋_GBK"/>
          <w:color w:val="auto"/>
          <w:spacing w:val="0"/>
          <w:sz w:val="28"/>
          <w:szCs w:val="28"/>
        </w:rPr>
        <w:t>20</w:t>
      </w:r>
      <w:r>
        <w:rPr>
          <w:rFonts w:hint="eastAsia" w:ascii="方正仿宋_GBK" w:hAnsi="方正仿宋_GBK" w:eastAsia="方正仿宋_GBK" w:cs="方正仿宋_GBK"/>
          <w:color w:val="auto"/>
          <w:spacing w:val="0"/>
          <w:sz w:val="28"/>
          <w:szCs w:val="28"/>
          <w:lang w:val="en-US" w:eastAsia="zh-CN"/>
        </w:rPr>
        <w:t>23</w:t>
      </w:r>
      <w:r>
        <w:rPr>
          <w:rFonts w:hint="eastAsia" w:ascii="方正仿宋_GBK" w:hAnsi="方正仿宋_GBK" w:eastAsia="方正仿宋_GBK" w:cs="方正仿宋_GBK"/>
          <w:color w:val="auto"/>
          <w:spacing w:val="0"/>
          <w:sz w:val="28"/>
          <w:szCs w:val="28"/>
        </w:rPr>
        <w:t>年</w:t>
      </w:r>
      <w:r>
        <w:rPr>
          <w:rFonts w:hint="eastAsia" w:ascii="方正仿宋_GBK" w:hAnsi="方正仿宋_GBK" w:eastAsia="方正仿宋_GBK" w:cs="方正仿宋_GBK"/>
          <w:color w:val="auto"/>
          <w:spacing w:val="0"/>
          <w:sz w:val="28"/>
          <w:szCs w:val="28"/>
          <w:lang w:val="en-US" w:eastAsia="zh-CN"/>
        </w:rPr>
        <w:t>3</w:t>
      </w:r>
      <w:r>
        <w:rPr>
          <w:rFonts w:hint="eastAsia" w:ascii="方正仿宋_GBK" w:hAnsi="方正仿宋_GBK" w:eastAsia="方正仿宋_GBK" w:cs="方正仿宋_GBK"/>
          <w:color w:val="auto"/>
          <w:spacing w:val="0"/>
          <w:sz w:val="28"/>
          <w:szCs w:val="28"/>
        </w:rPr>
        <w:t>月</w:t>
      </w:r>
      <w:r>
        <w:rPr>
          <w:rFonts w:hint="eastAsia" w:ascii="方正仿宋_GBK" w:hAnsi="方正仿宋_GBK" w:eastAsia="方正仿宋_GBK" w:cs="方正仿宋_GBK"/>
          <w:color w:val="auto"/>
          <w:spacing w:val="0"/>
          <w:sz w:val="28"/>
          <w:szCs w:val="28"/>
          <w:lang w:val="en-US" w:eastAsia="zh-CN"/>
        </w:rPr>
        <w:t>26</w:t>
      </w:r>
      <w:r>
        <w:rPr>
          <w:rFonts w:hint="eastAsia" w:ascii="方正仿宋_GBK" w:hAnsi="方正仿宋_GBK" w:eastAsia="方正仿宋_GBK" w:cs="方正仿宋_GBK"/>
          <w:color w:val="auto"/>
          <w:spacing w:val="0"/>
          <w:sz w:val="28"/>
          <w:szCs w:val="28"/>
        </w:rPr>
        <w:t>日印发</w:t>
      </w:r>
    </w:p>
    <w:sectPr>
      <w:footerReference r:id="rId4" w:type="default"/>
      <w:pgSz w:w="11906" w:h="16838"/>
      <w:pgMar w:top="2154"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1B8AB12-6D33-426E-BB8B-A8FF6A73941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EADEE86C-C366-41FD-8C19-D50BAC0B1321}"/>
  </w:font>
  <w:font w:name="方正小标宋简体">
    <w:panose1 w:val="03000509000000000000"/>
    <w:charset w:val="86"/>
    <w:family w:val="auto"/>
    <w:pitch w:val="default"/>
    <w:sig w:usb0="00000001" w:usb1="080E0000" w:usb2="00000000" w:usb3="00000000" w:csb0="00040000" w:csb1="00000000"/>
    <w:embedRegular r:id="rId3" w:fontKey="{2E52CAF9-7358-4D50-9DB5-99EFFE58F72D}"/>
  </w:font>
  <w:font w:name="仿宋">
    <w:panose1 w:val="02010609060101010101"/>
    <w:charset w:val="86"/>
    <w:family w:val="modern"/>
    <w:pitch w:val="default"/>
    <w:sig w:usb0="800002BF" w:usb1="38CF7CFA" w:usb2="00000016" w:usb3="00000000" w:csb0="00040001" w:csb1="00000000"/>
    <w:embedRegular r:id="rId4" w:fontKey="{C265D2B9-5EC4-4864-8B28-861B7C995A7B}"/>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embedRegular r:id="rId5" w:fontKey="{7CAA5FA0-4B17-408F-BFBE-63F31B49CB3E}"/>
  </w:font>
  <w:font w:name="方正楷体_GBK">
    <w:panose1 w:val="02000000000000000000"/>
    <w:charset w:val="86"/>
    <w:family w:val="auto"/>
    <w:pitch w:val="default"/>
    <w:sig w:usb0="A00002BF" w:usb1="38CF7CFA" w:usb2="00082016" w:usb3="00000000" w:csb0="00040001" w:csb1="00000000"/>
    <w:embedRegular r:id="rId6" w:fontKey="{D9751EA2-56F9-418B-BA04-DBC3E07D1C86}"/>
  </w:font>
  <w:font w:name="仿宋_GB2312">
    <w:panose1 w:val="02010609030101010101"/>
    <w:charset w:val="86"/>
    <w:family w:val="modern"/>
    <w:pitch w:val="default"/>
    <w:sig w:usb0="00000001" w:usb1="080E0000" w:usb2="00000000" w:usb3="00000000" w:csb0="00040000" w:csb1="00000000"/>
    <w:embedRegular r:id="rId7" w:fontKey="{F57203F4-BB43-471A-B328-BFE3442A3B3C}"/>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ascii="方正仿宋_GBK" w:hAnsi="方正仿宋_GBK" w:eastAsia="方正仿宋_GBK" w:cs="方正仿宋_GBK"/>
                              <w:color w:val="auto"/>
                              <w:sz w:val="28"/>
                              <w:szCs w:val="28"/>
                              <w:u w:val="none"/>
                            </w:rPr>
                          </w:pPr>
                          <w:r>
                            <w:rPr>
                              <w:rFonts w:hint="eastAsia" w:ascii="方正仿宋_GBK" w:hAnsi="方正仿宋_GBK" w:eastAsia="方正仿宋_GBK" w:cs="方正仿宋_GBK"/>
                              <w:color w:val="auto"/>
                              <w:sz w:val="28"/>
                              <w:szCs w:val="28"/>
                              <w:u w:val="none"/>
                            </w:rPr>
                            <w:t xml:space="preserve">— </w:t>
                          </w:r>
                          <w:r>
                            <w:rPr>
                              <w:rFonts w:hint="eastAsia" w:ascii="方正仿宋_GBK" w:hAnsi="方正仿宋_GBK" w:eastAsia="方正仿宋_GBK" w:cs="方正仿宋_GBK"/>
                              <w:color w:val="auto"/>
                              <w:sz w:val="28"/>
                              <w:szCs w:val="28"/>
                              <w:u w:val="none"/>
                            </w:rPr>
                            <w:fldChar w:fldCharType="begin"/>
                          </w:r>
                          <w:r>
                            <w:rPr>
                              <w:rFonts w:hint="eastAsia" w:ascii="方正仿宋_GBK" w:hAnsi="方正仿宋_GBK" w:eastAsia="方正仿宋_GBK" w:cs="方正仿宋_GBK"/>
                              <w:color w:val="auto"/>
                              <w:sz w:val="28"/>
                              <w:szCs w:val="28"/>
                              <w:u w:val="none"/>
                            </w:rPr>
                            <w:instrText xml:space="preserve"> PAGE  \* MERGEFORMAT </w:instrText>
                          </w:r>
                          <w:r>
                            <w:rPr>
                              <w:rFonts w:hint="eastAsia" w:ascii="方正仿宋_GBK" w:hAnsi="方正仿宋_GBK" w:eastAsia="方正仿宋_GBK" w:cs="方正仿宋_GBK"/>
                              <w:color w:val="auto"/>
                              <w:sz w:val="28"/>
                              <w:szCs w:val="28"/>
                              <w:u w:val="none"/>
                            </w:rPr>
                            <w:fldChar w:fldCharType="separate"/>
                          </w:r>
                          <w:r>
                            <w:rPr>
                              <w:rFonts w:hint="eastAsia" w:ascii="方正仿宋_GBK" w:hAnsi="方正仿宋_GBK" w:eastAsia="方正仿宋_GBK" w:cs="方正仿宋_GBK"/>
                              <w:color w:val="auto"/>
                              <w:sz w:val="28"/>
                              <w:szCs w:val="28"/>
                              <w:u w:val="none"/>
                            </w:rPr>
                            <w:t>1</w:t>
                          </w:r>
                          <w:r>
                            <w:rPr>
                              <w:rFonts w:hint="eastAsia" w:ascii="方正仿宋_GBK" w:hAnsi="方正仿宋_GBK" w:eastAsia="方正仿宋_GBK" w:cs="方正仿宋_GBK"/>
                              <w:color w:val="auto"/>
                              <w:sz w:val="28"/>
                              <w:szCs w:val="28"/>
                              <w:u w:val="none"/>
                            </w:rPr>
                            <w:fldChar w:fldCharType="end"/>
                          </w:r>
                          <w:r>
                            <w:rPr>
                              <w:rFonts w:hint="eastAsia" w:ascii="方正仿宋_GBK" w:hAnsi="方正仿宋_GBK" w:eastAsia="方正仿宋_GBK" w:cs="方正仿宋_GBK"/>
                              <w:color w:val="auto"/>
                              <w:sz w:val="28"/>
                              <w:szCs w:val="28"/>
                              <w:u w:val="none"/>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8"/>
                      <w:rPr>
                        <w:rFonts w:hint="eastAsia" w:ascii="方正仿宋_GBK" w:hAnsi="方正仿宋_GBK" w:eastAsia="方正仿宋_GBK" w:cs="方正仿宋_GBK"/>
                        <w:color w:val="auto"/>
                        <w:sz w:val="28"/>
                        <w:szCs w:val="28"/>
                        <w:u w:val="none"/>
                      </w:rPr>
                    </w:pPr>
                    <w:r>
                      <w:rPr>
                        <w:rFonts w:hint="eastAsia" w:ascii="方正仿宋_GBK" w:hAnsi="方正仿宋_GBK" w:eastAsia="方正仿宋_GBK" w:cs="方正仿宋_GBK"/>
                        <w:color w:val="auto"/>
                        <w:sz w:val="28"/>
                        <w:szCs w:val="28"/>
                        <w:u w:val="none"/>
                      </w:rPr>
                      <w:t xml:space="preserve">— </w:t>
                    </w:r>
                    <w:r>
                      <w:rPr>
                        <w:rFonts w:hint="eastAsia" w:ascii="方正仿宋_GBK" w:hAnsi="方正仿宋_GBK" w:eastAsia="方正仿宋_GBK" w:cs="方正仿宋_GBK"/>
                        <w:color w:val="auto"/>
                        <w:sz w:val="28"/>
                        <w:szCs w:val="28"/>
                        <w:u w:val="none"/>
                      </w:rPr>
                      <w:fldChar w:fldCharType="begin"/>
                    </w:r>
                    <w:r>
                      <w:rPr>
                        <w:rFonts w:hint="eastAsia" w:ascii="方正仿宋_GBK" w:hAnsi="方正仿宋_GBK" w:eastAsia="方正仿宋_GBK" w:cs="方正仿宋_GBK"/>
                        <w:color w:val="auto"/>
                        <w:sz w:val="28"/>
                        <w:szCs w:val="28"/>
                        <w:u w:val="none"/>
                      </w:rPr>
                      <w:instrText xml:space="preserve"> PAGE  \* MERGEFORMAT </w:instrText>
                    </w:r>
                    <w:r>
                      <w:rPr>
                        <w:rFonts w:hint="eastAsia" w:ascii="方正仿宋_GBK" w:hAnsi="方正仿宋_GBK" w:eastAsia="方正仿宋_GBK" w:cs="方正仿宋_GBK"/>
                        <w:color w:val="auto"/>
                        <w:sz w:val="28"/>
                        <w:szCs w:val="28"/>
                        <w:u w:val="none"/>
                      </w:rPr>
                      <w:fldChar w:fldCharType="separate"/>
                    </w:r>
                    <w:r>
                      <w:rPr>
                        <w:rFonts w:hint="eastAsia" w:ascii="方正仿宋_GBK" w:hAnsi="方正仿宋_GBK" w:eastAsia="方正仿宋_GBK" w:cs="方正仿宋_GBK"/>
                        <w:color w:val="auto"/>
                        <w:sz w:val="28"/>
                        <w:szCs w:val="28"/>
                        <w:u w:val="none"/>
                      </w:rPr>
                      <w:t>1</w:t>
                    </w:r>
                    <w:r>
                      <w:rPr>
                        <w:rFonts w:hint="eastAsia" w:ascii="方正仿宋_GBK" w:hAnsi="方正仿宋_GBK" w:eastAsia="方正仿宋_GBK" w:cs="方正仿宋_GBK"/>
                        <w:color w:val="auto"/>
                        <w:sz w:val="28"/>
                        <w:szCs w:val="28"/>
                        <w:u w:val="none"/>
                      </w:rPr>
                      <w:fldChar w:fldCharType="end"/>
                    </w:r>
                    <w:r>
                      <w:rPr>
                        <w:rFonts w:hint="eastAsia" w:ascii="方正仿宋_GBK" w:hAnsi="方正仿宋_GBK" w:eastAsia="方正仿宋_GBK" w:cs="方正仿宋_GBK"/>
                        <w:color w:val="auto"/>
                        <w:sz w:val="28"/>
                        <w:szCs w:val="28"/>
                        <w:u w:val="none"/>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181" w:lineRule="auto"/>
      <w:ind w:left="8000"/>
      <w:rPr>
        <w:rFonts w:ascii="宋体" w:hAnsi="宋体" w:eastAsia="宋体" w:cs="宋体"/>
        <w:sz w:val="26"/>
        <w:szCs w:val="26"/>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CE2CB7"/>
    <w:multiLevelType w:val="singleLevel"/>
    <w:tmpl w:val="A7CE2CB7"/>
    <w:lvl w:ilvl="0" w:tentative="0">
      <w:start w:val="1"/>
      <w:numFmt w:val="decimal"/>
      <w:suff w:val="space"/>
      <w:lvlText w:val="%1."/>
      <w:lvlJc w:val="left"/>
    </w:lvl>
  </w:abstractNum>
  <w:abstractNum w:abstractNumId="1">
    <w:nsid w:val="B53B0745"/>
    <w:multiLevelType w:val="singleLevel"/>
    <w:tmpl w:val="B53B0745"/>
    <w:lvl w:ilvl="0" w:tentative="0">
      <w:start w:val="1"/>
      <w:numFmt w:val="chineseCounting"/>
      <w:suff w:val="space"/>
      <w:lvlText w:val="（%1）"/>
      <w:lvlJc w:val="left"/>
      <w:rPr>
        <w:rFonts w:hint="eastAsia"/>
      </w:rPr>
    </w:lvl>
  </w:abstractNum>
  <w:abstractNum w:abstractNumId="2">
    <w:nsid w:val="CBE1FA63"/>
    <w:multiLevelType w:val="singleLevel"/>
    <w:tmpl w:val="CBE1FA63"/>
    <w:lvl w:ilvl="0" w:tentative="0">
      <w:start w:val="1"/>
      <w:numFmt w:val="chineseCounting"/>
      <w:suff w:val="nothing"/>
      <w:lvlText w:val="（%1）"/>
      <w:lvlJc w:val="left"/>
      <w:rPr>
        <w:rFonts w:hint="eastAsia"/>
      </w:rPr>
    </w:lvl>
  </w:abstractNum>
  <w:abstractNum w:abstractNumId="3">
    <w:nsid w:val="CCE7E3AC"/>
    <w:multiLevelType w:val="singleLevel"/>
    <w:tmpl w:val="CCE7E3AC"/>
    <w:lvl w:ilvl="0" w:tentative="0">
      <w:start w:val="1"/>
      <w:numFmt w:val="decimal"/>
      <w:suff w:val="space"/>
      <w:lvlText w:val="%1."/>
      <w:lvlJc w:val="left"/>
    </w:lvl>
  </w:abstractNum>
  <w:abstractNum w:abstractNumId="4">
    <w:nsid w:val="E65A2740"/>
    <w:multiLevelType w:val="singleLevel"/>
    <w:tmpl w:val="E65A2740"/>
    <w:lvl w:ilvl="0" w:tentative="0">
      <w:start w:val="3"/>
      <w:numFmt w:val="decimal"/>
      <w:suff w:val="space"/>
      <w:lvlText w:val="%1."/>
      <w:lvlJc w:val="left"/>
    </w:lvl>
  </w:abstractNum>
  <w:abstractNum w:abstractNumId="5">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1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572B5B16"/>
    <w:multiLevelType w:val="singleLevel"/>
    <w:tmpl w:val="572B5B16"/>
    <w:lvl w:ilvl="0" w:tentative="0">
      <w:start w:val="2"/>
      <w:numFmt w:val="decimal"/>
      <w:suff w:val="nothing"/>
      <w:lvlText w:val="%1．"/>
      <w:lvlJc w:val="left"/>
    </w:lvl>
  </w:abstractNum>
  <w:abstractNum w:abstractNumId="7">
    <w:nsid w:val="717938B5"/>
    <w:multiLevelType w:val="singleLevel"/>
    <w:tmpl w:val="717938B5"/>
    <w:lvl w:ilvl="0" w:tentative="0">
      <w:start w:val="1"/>
      <w:numFmt w:val="decimal"/>
      <w:suff w:val="space"/>
      <w:lvlText w:val="%1."/>
      <w:lvlJc w:val="left"/>
    </w:lvl>
  </w:abstractNum>
  <w:abstractNum w:abstractNumId="8">
    <w:nsid w:val="7B9B6191"/>
    <w:multiLevelType w:val="singleLevel"/>
    <w:tmpl w:val="7B9B6191"/>
    <w:lvl w:ilvl="0" w:tentative="0">
      <w:start w:val="1"/>
      <w:numFmt w:val="decimal"/>
      <w:suff w:val="space"/>
      <w:lvlText w:val="%1."/>
      <w:lvlJc w:val="left"/>
    </w:lvl>
  </w:abstractNum>
  <w:abstractNum w:abstractNumId="9">
    <w:nsid w:val="7BFBC0EE"/>
    <w:multiLevelType w:val="singleLevel"/>
    <w:tmpl w:val="7BFBC0EE"/>
    <w:lvl w:ilvl="0" w:tentative="0">
      <w:start w:val="1"/>
      <w:numFmt w:val="chineseCounting"/>
      <w:suff w:val="nothing"/>
      <w:lvlText w:val="（%1）"/>
      <w:lvlJc w:val="left"/>
      <w:rPr>
        <w:rFonts w:hint="eastAsia"/>
        <w:b w:val="0"/>
        <w:bCs w:val="0"/>
      </w:rPr>
    </w:lvl>
  </w:abstractNum>
  <w:num w:numId="1">
    <w:abstractNumId w:val="5"/>
  </w:num>
  <w:num w:numId="2">
    <w:abstractNumId w:val="2"/>
  </w:num>
  <w:num w:numId="3">
    <w:abstractNumId w:val="9"/>
  </w:num>
  <w:num w:numId="4">
    <w:abstractNumId w:val="1"/>
  </w:num>
  <w:num w:numId="5">
    <w:abstractNumId w:val="6"/>
  </w:num>
  <w:num w:numId="6">
    <w:abstractNumId w:val="8"/>
  </w:num>
  <w:num w:numId="7">
    <w:abstractNumId w:val="4"/>
  </w:num>
  <w:num w:numId="8">
    <w:abstractNumId w:val="0"/>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yMDY4NmRmZTY1OTgwYWM2Mzg5OTQwNGY5OGM1NTgifQ=="/>
  </w:docVars>
  <w:rsids>
    <w:rsidRoot w:val="00565C6B"/>
    <w:rsid w:val="00061204"/>
    <w:rsid w:val="00066080"/>
    <w:rsid w:val="000C448B"/>
    <w:rsid w:val="00184F87"/>
    <w:rsid w:val="001938AC"/>
    <w:rsid w:val="001C7209"/>
    <w:rsid w:val="001D4A4D"/>
    <w:rsid w:val="00231F2C"/>
    <w:rsid w:val="00310325"/>
    <w:rsid w:val="00340EFA"/>
    <w:rsid w:val="00344E1C"/>
    <w:rsid w:val="00375727"/>
    <w:rsid w:val="0040749C"/>
    <w:rsid w:val="0046784E"/>
    <w:rsid w:val="004C4D65"/>
    <w:rsid w:val="00565C6B"/>
    <w:rsid w:val="00572CC2"/>
    <w:rsid w:val="005C078F"/>
    <w:rsid w:val="005E32B5"/>
    <w:rsid w:val="007F590E"/>
    <w:rsid w:val="00862DC3"/>
    <w:rsid w:val="00874AD0"/>
    <w:rsid w:val="00957E1D"/>
    <w:rsid w:val="009A3D6F"/>
    <w:rsid w:val="009C4108"/>
    <w:rsid w:val="009E2C0B"/>
    <w:rsid w:val="00A668E6"/>
    <w:rsid w:val="00B537E6"/>
    <w:rsid w:val="00B93858"/>
    <w:rsid w:val="00BB1094"/>
    <w:rsid w:val="00C0006B"/>
    <w:rsid w:val="00C934E6"/>
    <w:rsid w:val="00D113B6"/>
    <w:rsid w:val="00D334B8"/>
    <w:rsid w:val="00D46E8E"/>
    <w:rsid w:val="00E235D5"/>
    <w:rsid w:val="00E91DD1"/>
    <w:rsid w:val="00EA5B9B"/>
    <w:rsid w:val="00EF50BB"/>
    <w:rsid w:val="026E0688"/>
    <w:rsid w:val="03132069"/>
    <w:rsid w:val="039229A5"/>
    <w:rsid w:val="040000C7"/>
    <w:rsid w:val="05946AA2"/>
    <w:rsid w:val="05AA6DC9"/>
    <w:rsid w:val="06AE33F4"/>
    <w:rsid w:val="06E52B6E"/>
    <w:rsid w:val="072D6906"/>
    <w:rsid w:val="08672674"/>
    <w:rsid w:val="08985FDF"/>
    <w:rsid w:val="08FF61D2"/>
    <w:rsid w:val="09241122"/>
    <w:rsid w:val="095E4DA5"/>
    <w:rsid w:val="0A603002"/>
    <w:rsid w:val="0A7964DD"/>
    <w:rsid w:val="0BF30382"/>
    <w:rsid w:val="0C566AD6"/>
    <w:rsid w:val="0CD42F85"/>
    <w:rsid w:val="0ECC4299"/>
    <w:rsid w:val="0EE40E81"/>
    <w:rsid w:val="10065160"/>
    <w:rsid w:val="102C31F0"/>
    <w:rsid w:val="10573139"/>
    <w:rsid w:val="1084746B"/>
    <w:rsid w:val="10AD7059"/>
    <w:rsid w:val="1185730A"/>
    <w:rsid w:val="120945EA"/>
    <w:rsid w:val="12F6357A"/>
    <w:rsid w:val="14EA425F"/>
    <w:rsid w:val="152A437D"/>
    <w:rsid w:val="153C0833"/>
    <w:rsid w:val="16045D57"/>
    <w:rsid w:val="16186C75"/>
    <w:rsid w:val="163C63A7"/>
    <w:rsid w:val="180F7034"/>
    <w:rsid w:val="19022DB5"/>
    <w:rsid w:val="19A53F23"/>
    <w:rsid w:val="1A8A64CB"/>
    <w:rsid w:val="1AD7062C"/>
    <w:rsid w:val="1AD81750"/>
    <w:rsid w:val="1C9849DD"/>
    <w:rsid w:val="1DCF5785"/>
    <w:rsid w:val="1E1E782E"/>
    <w:rsid w:val="1E85149C"/>
    <w:rsid w:val="1F816C37"/>
    <w:rsid w:val="1FAE4EBE"/>
    <w:rsid w:val="219B4F28"/>
    <w:rsid w:val="226B210A"/>
    <w:rsid w:val="24302354"/>
    <w:rsid w:val="245A642E"/>
    <w:rsid w:val="2513501F"/>
    <w:rsid w:val="25BB0040"/>
    <w:rsid w:val="26527C3C"/>
    <w:rsid w:val="275F6ADB"/>
    <w:rsid w:val="28302479"/>
    <w:rsid w:val="2A2B114A"/>
    <w:rsid w:val="2AFF336A"/>
    <w:rsid w:val="2E2D3B92"/>
    <w:rsid w:val="2F2A6672"/>
    <w:rsid w:val="2F525233"/>
    <w:rsid w:val="2F81785B"/>
    <w:rsid w:val="2FCE4BD8"/>
    <w:rsid w:val="303C48A5"/>
    <w:rsid w:val="30703D5A"/>
    <w:rsid w:val="32361638"/>
    <w:rsid w:val="32B43E83"/>
    <w:rsid w:val="33A67A93"/>
    <w:rsid w:val="33F521ED"/>
    <w:rsid w:val="36144873"/>
    <w:rsid w:val="37015E12"/>
    <w:rsid w:val="37043ABB"/>
    <w:rsid w:val="37643EED"/>
    <w:rsid w:val="37792134"/>
    <w:rsid w:val="39162FC5"/>
    <w:rsid w:val="394D27AC"/>
    <w:rsid w:val="3B6275BA"/>
    <w:rsid w:val="3B772BC6"/>
    <w:rsid w:val="3BEB33B3"/>
    <w:rsid w:val="3DB92A70"/>
    <w:rsid w:val="3E1E78F4"/>
    <w:rsid w:val="3E4203B8"/>
    <w:rsid w:val="3E9D053F"/>
    <w:rsid w:val="3EB17F5D"/>
    <w:rsid w:val="406F4DA3"/>
    <w:rsid w:val="40F869A3"/>
    <w:rsid w:val="4121076E"/>
    <w:rsid w:val="42052FB3"/>
    <w:rsid w:val="43EB3608"/>
    <w:rsid w:val="443D1635"/>
    <w:rsid w:val="44BF59D3"/>
    <w:rsid w:val="46210897"/>
    <w:rsid w:val="46614A24"/>
    <w:rsid w:val="46DE7F76"/>
    <w:rsid w:val="473C5F10"/>
    <w:rsid w:val="47A70D1B"/>
    <w:rsid w:val="47EA297B"/>
    <w:rsid w:val="48802209"/>
    <w:rsid w:val="49BE549D"/>
    <w:rsid w:val="4D48080E"/>
    <w:rsid w:val="4F202CA6"/>
    <w:rsid w:val="501F052C"/>
    <w:rsid w:val="508A631B"/>
    <w:rsid w:val="50C42CF3"/>
    <w:rsid w:val="51EF6F69"/>
    <w:rsid w:val="51F65E04"/>
    <w:rsid w:val="525E351A"/>
    <w:rsid w:val="543C5B7E"/>
    <w:rsid w:val="54E80CEB"/>
    <w:rsid w:val="556B2F63"/>
    <w:rsid w:val="557C1FAA"/>
    <w:rsid w:val="55CC6EA3"/>
    <w:rsid w:val="560218AC"/>
    <w:rsid w:val="56B750BE"/>
    <w:rsid w:val="588469CF"/>
    <w:rsid w:val="5CA74682"/>
    <w:rsid w:val="5DB71523"/>
    <w:rsid w:val="5E176B4C"/>
    <w:rsid w:val="5E4B5201"/>
    <w:rsid w:val="5F096520"/>
    <w:rsid w:val="5F0F72DD"/>
    <w:rsid w:val="5F346A3D"/>
    <w:rsid w:val="5F7631F0"/>
    <w:rsid w:val="5FA7054F"/>
    <w:rsid w:val="5FBC6B9C"/>
    <w:rsid w:val="61587E2C"/>
    <w:rsid w:val="615F10FE"/>
    <w:rsid w:val="62F73DC7"/>
    <w:rsid w:val="63937339"/>
    <w:rsid w:val="63B73FCA"/>
    <w:rsid w:val="6412566B"/>
    <w:rsid w:val="65C07C91"/>
    <w:rsid w:val="666979C8"/>
    <w:rsid w:val="695B209C"/>
    <w:rsid w:val="6B096782"/>
    <w:rsid w:val="6C0D35E3"/>
    <w:rsid w:val="6DB1683D"/>
    <w:rsid w:val="6E1421E8"/>
    <w:rsid w:val="6ED36C87"/>
    <w:rsid w:val="6F127055"/>
    <w:rsid w:val="706752EE"/>
    <w:rsid w:val="70C14777"/>
    <w:rsid w:val="70E708F9"/>
    <w:rsid w:val="710345CB"/>
    <w:rsid w:val="74C43AA5"/>
    <w:rsid w:val="754C2CCA"/>
    <w:rsid w:val="76160465"/>
    <w:rsid w:val="76747E9A"/>
    <w:rsid w:val="76B0301B"/>
    <w:rsid w:val="76B92422"/>
    <w:rsid w:val="77612478"/>
    <w:rsid w:val="78566F79"/>
    <w:rsid w:val="78C02044"/>
    <w:rsid w:val="78DD583C"/>
    <w:rsid w:val="79EC4599"/>
    <w:rsid w:val="7A1E50DA"/>
    <w:rsid w:val="7A5223BA"/>
    <w:rsid w:val="7C1F6F2B"/>
    <w:rsid w:val="7CE51EA3"/>
    <w:rsid w:val="7D44080E"/>
    <w:rsid w:val="7D807FDA"/>
    <w:rsid w:val="7EC95477"/>
    <w:rsid w:val="7ED159D7"/>
    <w:rsid w:val="7EE92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4">
    <w:name w:val="Default Paragraph Font"/>
    <w:autoRedefine/>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style>
  <w:style w:type="paragraph" w:styleId="5">
    <w:name w:val="Body Text Indent"/>
    <w:basedOn w:val="1"/>
    <w:next w:val="6"/>
    <w:autoRedefine/>
    <w:qFormat/>
    <w:uiPriority w:val="0"/>
    <w:pPr>
      <w:spacing w:after="120"/>
      <w:ind w:left="200" w:leftChars="200"/>
    </w:pPr>
    <w:rPr>
      <w:rFonts w:ascii="Times New Roman" w:hAnsi="Times New Roman" w:eastAsia="宋体" w:cs="Times New Roman"/>
    </w:rPr>
  </w:style>
  <w:style w:type="paragraph" w:styleId="6">
    <w:name w:val="Body Text Indent 2"/>
    <w:basedOn w:val="1"/>
    <w:qFormat/>
    <w:uiPriority w:val="0"/>
    <w:pPr>
      <w:spacing w:line="500" w:lineRule="exact"/>
      <w:ind w:firstLine="564"/>
    </w:pPr>
    <w:rPr>
      <w:rFonts w:ascii="Times New Roman" w:hAnsi="Times New Roman" w:eastAsia="宋体" w:cs="Times New Roman"/>
    </w:rPr>
  </w:style>
  <w:style w:type="paragraph" w:styleId="7">
    <w:name w:val="Plain Text"/>
    <w:basedOn w:val="1"/>
    <w:next w:val="1"/>
    <w:autoRedefine/>
    <w:qFormat/>
    <w:uiPriority w:val="99"/>
    <w:rPr>
      <w:rFonts w:ascii="宋体" w:hAnsi="Courier New" w:cs="Courier New"/>
      <w:szCs w:val="21"/>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autoRedefine/>
    <w:qFormat/>
    <w:uiPriority w:val="0"/>
    <w:pPr>
      <w:spacing w:beforeAutospacing="1" w:afterAutospacing="1"/>
      <w:jc w:val="left"/>
    </w:pPr>
    <w:rPr>
      <w:rFonts w:cs="Times New Roman"/>
      <w:kern w:val="0"/>
      <w:sz w:val="24"/>
    </w:rPr>
  </w:style>
  <w:style w:type="paragraph" w:styleId="11">
    <w:name w:val="Body Text First Indent 2"/>
    <w:basedOn w:val="5"/>
    <w:autoRedefine/>
    <w:qFormat/>
    <w:uiPriority w:val="0"/>
    <w:pPr>
      <w:ind w:firstLine="200" w:firstLineChars="200"/>
    </w:p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qFormat/>
    <w:uiPriority w:val="0"/>
    <w:rPr>
      <w:b/>
    </w:rPr>
  </w:style>
  <w:style w:type="paragraph" w:customStyle="1" w:styleId="16">
    <w:name w:val="列出段落1"/>
    <w:basedOn w:val="1"/>
    <w:autoRedefine/>
    <w:qFormat/>
    <w:uiPriority w:val="99"/>
    <w:pPr>
      <w:ind w:firstLine="420" w:firstLineChars="200"/>
    </w:pPr>
    <w:rPr>
      <w:rFonts w:ascii="Calibri" w:hAnsi="Calibri" w:eastAsia="宋体" w:cs="Calibri"/>
      <w:szCs w:val="21"/>
    </w:rPr>
  </w:style>
  <w:style w:type="paragraph" w:customStyle="1" w:styleId="17">
    <w:name w:val="标准文件_附录表标题"/>
    <w:next w:val="1"/>
    <w:autoRedefine/>
    <w:qFormat/>
    <w:uiPriority w:val="0"/>
    <w:pPr>
      <w:numPr>
        <w:ilvl w:val="1"/>
        <w:numId w:val="1"/>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szCs w:val="20"/>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9999</Words>
  <Characters>10126</Characters>
  <Lines>53</Lines>
  <Paragraphs>15</Paragraphs>
  <TotalTime>8</TotalTime>
  <ScaleCrop>false</ScaleCrop>
  <LinksUpToDate>false</LinksUpToDate>
  <CharactersWithSpaces>10567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2023-01-31T13:47:00Z</dcterms:created>
  <dc:creator>lenovo</dc:creator>
  <cp:lastModifiedBy>Administrator</cp:lastModifiedBy>
  <cp:lastPrinted>2024-03-25T07:06:23Z</cp:lastPrinted>
  <dcterms:modified xsi:type="dcterms:W3CDTF">2024-03-25T07:27:13Z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0276C29CC07E4B33AC133187E50C90D8_13</vt:lpwstr>
  </property>
</Properties>
</file>